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E-3568/2022 vom 31. August 2022</w:t>
      </w:r>
    </w:p>
    <w:p>
      <w:r>
        <w:t>Bundesverwaltungsgericht, 2022-08-31, DE</w:t>
      </w:r>
    </w:p>
    <w:p>
      <w:r>
        <w:rPr>
          <w:b/>
        </w:rPr>
        <w:t xml:space="preserve">Quelle: </w:t>
      </w:r>
      <w:r>
        <w:t>https://mcp.opencaselaw.ch/entscheid/bvger_E-3568_2022</w:t>
      </w:r>
    </w:p>
    <w:p>
      <w:r>
        <w:t>FR: TAF E-3568/2022 du 31 août 2022</w:t>
      </w:r>
    </w:p>
    <w:p>
      <w:r>
        <w:t>IT: TAF E-3568/2022 del 31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Besitzt eine antragstellende Person einen oder mehrere Aufenthaltstitel, die mehr als zwei Jahre zuvor abgelaufen sind, oder ein oder mehrere Visa, die seit mehr als sechs Monaten abgelaufen sind, aufgrund deren sie in das Hoheitsgebiet eines Mitgliedstaats einreisen konnte, und hat sie die Hoheitsgebiete der Mitgliedstaaten nicht verlassen, so ist gemäss Art. 12 Abs. 4 Dublin-III-VO der Mitgliedstaat zuständig, in dem der Antrag auf internationalen Schutz gestellt wird.</w:t>
      </w:r>
    </w:p>
    <w:p>
      <w:r>
        <w:rPr>
          <w:b/>
        </w:rPr>
        <w:t>E. 5.1</w:t>
      </w:r>
    </w:p>
    <w:p>
      <w:r>
        <w:t>Ein Abgleich mit dem CS-VIS ergab, dass die belgische Botschaft in B._______ dem Beschwerdeführer - im Auftrag Luxemburgs - am 24. Mai 2022 ein Schengen-Visum mit Gültigkeitsdauer 28. Mai 2022 bis 21. Juni 2022 ausgestellt hatte (SEM-Akte 1178576-7/2; 1178576-8/1; 1178576-9/2). Das SEM ersuchte die luxemburgischen Behörden deshalb am 16. Juni 2022 um Übernahme des Beschwerdeführers gestützt auf Art. 12 Abs. 4 Dublin-III-VO (SEM-Akte 1178576-18/7). Diese stimmten dem Ersuchen mit Schreiben vom 9. August 2022 ausdrücklich zu (SEM-Akte 1178576-19/1). Die grundsätzliche Zuständigkeit Luxemburgs ist somit gegeben.</w:t>
      </w:r>
    </w:p>
    <w:p>
      <w:r>
        <w:rPr>
          <w:b/>
        </w:rPr>
        <w:t>E. 5.2</w:t>
      </w:r>
    </w:p>
    <w:p>
      <w:r>
        <w:t>Nachfolgend ist im Licht von Art. 3 Abs. 2 Dublin-III-VO zu prüfen, ob es wesentliche Gründe für die Annahme gibt, das Asylverfahren und die Aufnahmebedingungen für Asylsuchende in Luxemburg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Luxemburg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in ständiger Rechtsprechung davon aus, dass das luxemburgische Asylsystem keine systemischen Mängel im Sinn von Art. 3 Abs. 2 zweiter Satz Dublin-III-VO aufweist (vgl. Urteil des BVGer F-6285/2020 vom 17. Dezember 2020 und F-2059/2019 vom 7. Mai 2019). An dieser Rechtsprechung ist festzuhalten, zumal der Beschwerdeführer nichts Gegenteiliges vorbringt. Für eine Übernahme der luxemburgischen Zuständigkeit gestützt auf Art. 3 Abs. 2 Dublin-III-VO besteht daher kein Anlass.</w:t>
      </w:r>
    </w:p>
    <w:p>
      <w:r>
        <w:rPr>
          <w:b/>
        </w:rPr>
        <w:t>E. 7</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ist. Liegen individuelle völkerrechtliche Überstellungshindernisse vor, ist der Selbsteintritt zwingend (BVGE 2015/9 E. 8.2.1).</w:t>
      </w:r>
    </w:p>
    <w:p>
      <w:r>
        <w:rPr>
          <w:b/>
        </w:rPr>
        <w:t>E. 8.1</w:t>
      </w:r>
    </w:p>
    <w:p>
      <w:r>
        <w:t>Der Beschwerdeführer machte in seiner Beschwerdeschrift geltend, er habe noch in keinem anderen Land Asyl beantragt und glaube, er werde sterben, wenn er die Schweiz verlassen müssen. Seine übrigen Ausführungen beziehen sich auf seine Situation in Äthiopien und sind für das vorliegende Dublin-Verfahren irrelevant.</w:t>
      </w:r>
    </w:p>
    <w:p>
      <w:r>
        <w:rPr>
          <w:b/>
        </w:rPr>
        <w:t>E. 8.2</w:t>
      </w:r>
    </w:p>
    <w:p>
      <w:r>
        <w:t>Der Beschwerdeführer verfügte über ein seit rund zwei Monaten abgelaufenes Visum für Luxemburg (SEM-Akte 1178576-8/1). Klarzustellen gilt es an dieser Stelle, dass die Dublin-III-VO den Schutzsuchenden kein Recht einräumt, den ihren Antrag prüfenden Staat selber auszuwählen (vgl. BVGE 2010/45 E. 8.3). Dem Beschwerdeführer steht es nach erfolgter Überstellung nach Luxemburg offen, dort um Asyl nachzusuchen und damit Zugang zu den asylrechtlichen Aufnahmestrukturen zu erhalten. Er hat in diesem Zusammenhang kein konkretes und ernsthaftes Risiko dargetan, die luxemburgischen Behörden würden sich weigern, ihn aufzunehmen und seinen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Nach eigenen Angaben hatte der Beschwerdeführer noch gar keinen Kontakt mit den luxemburgischen Asylbehörden und hat auf die Stellung eines Asylantrags verzichtet.</w:t>
      </w:r>
    </w:p>
    <w:p>
      <w:r>
        <w:rPr>
          <w:b/>
        </w:rPr>
        <w:t>E. 8.3</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Eine solche Situation ist vorliegend nicht gegeben. Gemäss den im Recht liegenden medizinischen Unterlagen leidet der Beschwerdeführer aktuell unter einer (...), einer (...) und einem (...). Er erhält gegen sämtliche Beschwerden Medikamente (SEM-Akte 1178576-20/5; 1178576-21/2; 1178576-22/2; 1178576-23/6). Die von ihm vorgebrachten (...) sind nicht ausgewiesen, obwohl er diese bereits anlässlich des Dublin-Gesprächs geltend machte und behauptete, deswegen einen Arzttermin vereinbart zu haben (SEM-Akte 1178576-14/3; 1178576-24/1) Weitere gesundheitliche Beschwerden lassen sich den Akten nicht entnehmen. Sodann gelingt es dem Beschwerdeführer nicht, aus dem auf Beschwerdeebene neu zu den Akten gereichten Arztbericht aus dem Jahr 2014 etwas zu seinen Gunsten abzuleiten. Dieser attestierte ihm lediglich (...) sowie eine (...). Es liegen keine Hinweise vor, wonach Luxemburg dem Beschwerdeführer eine allfällige adäquate medizinische Behandlung für seine derzeit bestehenden gesundheitlichen Probleme verweigern würde. Es ist allgemein bekannt, dass Luxemburg über eine medizinische Infrastruktur verfügt, die der schweizerischen in jeder Hinsicht gleichwertig ist (vgl. Urteil F-6285/2020).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schweizerischen Behörden, die mit dem Vollzug der angefochten Verfügung beauftragt sind, werden den medizinischen Umständen bei der Bestimmung der konkreten Modalitäten der Überstellung des Beschwerdeführers Rechnung tragen und die luxemburgischen Behörden vorgängig in geeigneter Weise über die spezifischen medizinischen Umstände informieren (vgl. Art. 31 f. Dublin-III-VO).</w:t>
      </w:r>
    </w:p>
    <w:p>
      <w:r>
        <w:rPr>
          <w:b/>
        </w:rPr>
        <w:t>E. 8.4</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Da er nicht im Besitz einer gültigen Aufenthalts- oder Niederlassungsbewilligung ist, wurde die Überstellung nach Luxemburg in Anwendung von Art. 44 AsylG ebenfalls zu Recht angeordnet (Art. 32 Bst. a AsylV 1).</w:t>
      </w:r>
    </w:p>
    <w:p>
      <w:r>
        <w:rPr>
          <w:b/>
        </w:rPr>
        <w:t>E. 9</w:t>
      </w:r>
    </w:p>
    <w:p>
      <w:r>
        <w:t>Nach dem Gesagten ist die Beschwerde abzuweisen und die Verfügung des SEM zu bestätigen. Der angeordnete Vollzugsstopp fällt mir vorliegendem Urteil dahin.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