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E-3567/2006 vom 31. März 2009</w:t>
      </w:r>
    </w:p>
    <w:p>
      <w:r>
        <w:t>Bundesverwaltungsgericht, 2009-03-31, DE</w:t>
      </w:r>
    </w:p>
    <w:p>
      <w:r>
        <w:rPr>
          <w:b/>
        </w:rPr>
        <w:t xml:space="preserve">Quelle: </w:t>
      </w:r>
      <w:r>
        <w:t>https://mcp.opencaselaw.ch/entscheid/bvger_E-3567_2006</w:t>
      </w:r>
    </w:p>
    <w:p>
      <w:r>
        <w:t>FR: TAF E-3567/2006 du 31 mars 2009</w:t>
      </w:r>
    </w:p>
    <w:p>
      <w:r>
        <w:t>IT: TAF E-3567/2006 del 31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Schweizerischen Asylrekurskommission [EMARK] 2004 Nr. 1 E. 5a S. 4 f.).</w:t>
      </w:r>
    </w:p>
    <w:p>
      <w:r>
        <w:rPr>
          <w:b/>
        </w:rPr>
        <w:t>E. 4.1</w:t>
      </w:r>
    </w:p>
    <w:p>
      <w:r>
        <w:t>Das Bundesverwaltungsgericht kommt aufgrund der nachfolgenden Ausführungen zum Schluss, dass der Beschwerdeführer für die Zeitspanne bis zum Verlassen des Heimatlandes keine begründete Furcht vor Verfolgung glaubhaft machen kann.</w:t>
      </w:r>
    </w:p>
    <w:p>
      <w:r>
        <w:rPr>
          <w:b/>
        </w:rPr>
        <w:t>E. 4.2.1</w:t>
      </w:r>
    </w:p>
    <w:p>
      <w:r>
        <w:t>Nach Prüfung der Protokolle stellt das Bundesverwaltungsgericht - in Übereinstimmung mit der Vorinstanz - fest, dass die Ausführungen des Beschwerdeführers verschiedene Unglaubhaftigkeitselemente zu zentralen Aspekten des geltend gemachten Sachverhaltes enthalten.</w:t>
      </w:r>
    </w:p>
    <w:p>
      <w:r>
        <w:rPr>
          <w:b/>
        </w:rPr>
        <w:t>E. 4.2.2</w:t>
      </w:r>
    </w:p>
    <w:p>
      <w:r>
        <w:t>Vorab ist jedoch klarzustellen, dass sich die Vorinstanz durch eine frühere falsche Angabe der österreichischen Behörden zum Einreisedatum des Beschwerdeführers in Österreich irregeführt sehen musste und somit nach der diesbezüglichen Korrektur durch das österreichische Bundeskriminalamt (vgl. oben unter F.) die Erwägung 1. in der angefochtenen Verfügung und der entsprechende Vorhalt an den Beschwerdeführer selbstredend keinen Bestand haben können.</w:t>
      </w:r>
    </w:p>
    <w:p>
      <w:r>
        <w:rPr>
          <w:b/>
        </w:rPr>
        <w:t>E. 4.2.3</w:t>
      </w:r>
    </w:p>
    <w:p>
      <w:r>
        <w:t>Hingegen ist die Einschätzung der Vorinstanz im Resultat, wonach die Vorbringen des Beschwerdeführers den Anforderungen an die Glaubhaftigkeit im Sinne von Art. 7 AsylG nicht standzuhalten vermögen, zu bestätigen. Zwar wäre mit dem Beschwerdeführer einig zu gehen, dass aus der Aussage, "er sei festgenommen worden, nachdem er nach Hause zurückgekehrt sei", und der Angabe, "er sei zu Fuss unterwegs gewesen, als er verhaftet wurde", nicht zwingend auf einen Widerspruch geschlossen werden könnte, da der Ausdruck "nach Hause zurückgekehrt" auch den Weg und die Zeitspanne ab Antritt des Nachhauseweges bedeuten kann. Dabei zitiert der Beschwerdeführer seine protokollierte Aussage hingegen ungenau. Gemäss Protokoll der Erstbefragung sagte der Beschwerdeführer aus, nachdem "wir nach Hause zurückkamen, wurden wir festgenommen" (A1/10 S. 5), was doch eher eine eigentliche Rückkehr nach Hause selbst impliziert. Aus dem Umstand, dass die Vorinstanz daraus einen Widerspruch abgeleitet hat, kann dieser entgegen des Standpunktes in der Rechtsmitteleingabe jedenfalls nicht Mutwilligkeit angelastet werden. Demgegenüber fällt deutlicher ins Gewicht, dass sich der Beschwerdeführer bezüglich der Daten seiner Festnahme, der auf die Freilassung folgenden behördlichen Nachstellungen und des Verlassens seines Heimatortes nicht hat festlegen können. Wenn er schon bestimmte Daten zu nennen im Stande ist, wäre aufgrund der Eindrücklichkeit der Ereignisse sowie der persönlichen Betroffenheit zu erwarten, dass er zu konkreten Angaben hätte befähigt sein müssen, falls er diese persönlich erlebt hätte. So ist wenig nachvollziehbar, wenn er anlässlich der kantonalen Anhörung seine Festnahme entgegen der Angabe bei der Erstbefragung vom 4. Februar 2003 auf den 4. März 2003 datiert und sich erst auf entsprechenden Vorhalt rückkorrigiert, und dies erst nachdem der 4. März 2003 noch mehrere Male ausdrücklich genannt worden ist (A14/25 S. 16). Von einem blossen Versprecher kann demnach nicht ausgegangen werden. Auch ist angesichts der einmaligen und einschneidenden Natur des Erlebnisses kaum erklärlich, weshalb er sich beim Entlassungsdatum aus einer 33-tägigen Haft nicht auf ein Datum festzulegen vermag und zwei zur Auswahl stellt, sowie sich gar auf den 9. April 2003 "falsch korrigiert" (A14/25 S.17). Zudem sind die Datumsangaben bezüglich der geltend gemachten drei Nachstellungen durch die Sicherheitsbehörden nach seiner Freilassung nicht kongruent, auch wenn mit dem Vorbringen in der Rechtsmitteleingabe eingeräumt werden kann, dass es sich um leichte Abweichungen handelt. Der Erklärungsversuch in der Beschwerde, es sei angesichts der durchstandenen Haft mit Folter und Misshandlungen verständlich, wenn er sich nicht an die genauen Daten erinnern könne, vermag jedoch nicht restlos zu überzeugen, da der Beschwerdeführer im Zeitpunkt der Befragungen nach gewonnenem zeitlichen Abstand geordneter Gedanken hätte fähig sein können, um die Erlebnisse zeitlich präzis einzuordnen, zumal es sich der äusserlichen Natur der Geschehnisse nach nicht um komplizierte Abläufe gehandelt hätte. Gleiches gilt bezüglich der Kenntnis des Zeitpunktes des Verlassens seines Heimatortes und des Aufbruchs nach Damaskus. Zu einem derart markanten Ereignis dürfte eine präzisere Angabe erwartet werden, als der Zeitraum von wechselnd drei oder vier Daten. Gänzlich unverständlich ist im Übrigen die Angabe, er sei am 4. April 2003 aus seinem Heimatland ausgereist (A1/10 S. 7), die zudem in der Rechtsmitteleingabe unbesehen der Inkongruenz übernommen wird. Ebenso ist mit der Vorinstanz festzustellen, dass die Schilderungen des Beschwerdeführers zur geltend gemachten Festnahme ausgesprochen vage ausgefallen sind. Auch wenn aufgrund des gesamten Protokolls der kantonalen Anhörung geschlossen werden kann, dass es seinem Naturell entsprechen mag, sich auf Fragen sehr knapp zu halten - was für sich genommen keinesfalls gegen seine Glaubhaftigkeit sprechen muss - hätte angesichts eines solchen Vorfalls eine detailreichere Schilderung seiner Festnahme erwartet werden dürfen, wenn er sie auch tatsächlich erlebt hätte. Spontan von ihm ausgehende Realkennzeichen fehlen fast gänzlich, obwohl er in offener Fragestellung speziell aufgefordert wurde, den Vorgang seiner Festnahme zu schildern (A14/25 S. 17).</w:t>
      </w:r>
    </w:p>
    <w:p>
      <w:r>
        <w:rPr>
          <w:b/>
        </w:rPr>
        <w:t>E. 4.3</w:t>
      </w:r>
    </w:p>
    <w:p>
      <w:r>
        <w:t>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Der Beschwerdeführer konnte keine hinreichend überzeugenden und glaubhaften Indizien vorbringen, die auf eine Vorverfolgung schliessen lassen könnten. Aus seinen Vorbringen lassen sich entsprechend auch keine ausreichenden Hinweise auf eine begründete Furcht vor Verfolgung ableiten, die zum Zeitpunkt der Ausreise aus Syrien zu bejahen gewesen wäre.</w:t>
      </w:r>
    </w:p>
    <w:p>
      <w:r>
        <w:rPr>
          <w:b/>
        </w:rPr>
        <w:t>E. 5.1</w:t>
      </w:r>
    </w:p>
    <w:p>
      <w:r>
        <w:t>In seiner Rechtsmitteleingabe und im Verlaufe des Beschwerdeverfahrens macht der Beschwerdeführer mit Verweis auf seine politischen Aktivitäten in der Schweiz subjektive Nachfluchtgründe geltend. Zur Stützung dieser Vorbringen reichte er mehrere Beweismittel ein.</w:t>
      </w:r>
    </w:p>
    <w:p>
      <w:r>
        <w:rPr>
          <w:b/>
        </w:rPr>
        <w:t>E. 5.2</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w:t>
      </w:r>
    </w:p>
    <w:p>
      <w:r>
        <w:rPr>
          <w:b/>
        </w:rPr>
        <w:t>E. 5.3</w:t>
      </w:r>
    </w:p>
    <w:p>
      <w:r>
        <w:t>Die rechtsstaatlich nicht kontrollierten syrischen Sicherheits- und Geheimdienste verfügen über umfassende Sondervollmachten (vgl. EMARK 2004 Nr. 1 E. 5b.cc S. 7). Sie sind auch im Ausland aktiv, wo eine ihrer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in Syrien einem beständigen Misstrauen der Behörden ausgesetzt, was sich seit den Unruhen vom März und April 2004 - als nach gewaltsamen Auseinandersetzungen in Nordsyrien mehr als 2000 Angehörige der kurdischen Bevölkerungsgruppe verhaftet wurden - noch akzentuiert hat (s. dazu EMARK 2005 Nr. 7 E. 7.2 S. 70 ff. mit weiteren Hinweisen).</w:t>
      </w:r>
    </w:p>
    <w:p>
      <w:r>
        <w:rPr>
          <w:b/>
        </w:rPr>
        <w:t>E. 6</w:t>
      </w:r>
    </w:p>
    <w:p>
      <w:r>
        <w:t>In der Gesamtbetrachtung der geltend gemachten exilpolitischen Tätigkeiten des Beschwerdeführers ist jedoch nicht ersichtlich, dass er sich besonders profiliert beziehungsweise exponiert hätte. Vor diesem Hintergrund und angesichts der umfangreichen regimekritischen Aktivitäten von syrischen Staatsangehörigen in ganz Westeuropa erscheint es unwahrscheinlich, dass die heimatlichen Behörden vom Beschwerdeführer soweit Notiz genommen haben, dass sie ihn bei einer Rückkehr nach Syrien deswegen verfolgen würden. Daran vermögen auch die vom Beschwerdeführer eingereichten Beweismittel nichts zu ändern. Eine Identifizierung hier in der Schweiz dürfte im Übrigen kaum wahrscheinlich sein, da der Beschwerdeführer nicht glaubhaft machen konnte, bereits im Heimatland aus politischen Gründen aufgefallen zu sein. Dass der syrische Geheimdienst jedoch im Ausland aktiv ist und gezielt Informationen über dort lebende Syrer (im weiteren Sinn) sammelt, ist bekannt. Exilpolitische Tätigkeit wird nach Kenntnissen des Gerichts indessen erst wahrgenommen (und bei der Rückkehr nach Syrien geahndet), wenn sie einen gewissen Grad an Öffentlichkeit erreicht und sich als gegen den Bestand,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Eine Verfolgung ist vorliegend nicht anzunehmen, zumal es sich - wie bereits erwähnt - beim Beschwerdeführer um eine Person ohne ausgeprägteres politisches Profil handelt. Daran ändert auch seine Teilnahme an der Besetzung des syrischen Botschaft in Genf vom 15. März 2004 in entscheidrelevanter Hinsicht nichts. Es ist aus den Akten nicht ersichtlich, dass er sich in diesem Zusammenhang als führende Persönlichkeit hervorgetan und die Aufmerksamkeit in besonderem Masse auf sich gelenkt hätte. Gleiches gilt etwa für die Teilnahmen an der von SF1 ausgestrahlte Protestkundgebung vom 10. November 2007 und an der von Roj-TV ausgestrahlten Kundgebung vor der türkischen Botschaft vom 27. Oktober 2007 sowie für die weiteren Teilnahmen an Demostrationen. Bezüglich der geltend gemachten publizistischen Tätigkeit kann - um unnötige Wiederholungen zu vermeiden - auf die im Resultat zu bestätigenden Ausführungen des BFM in der Vernehmlassung vom 3. März 2009 verwiesen werden. Vor diesem Hintergrund ist somit davon auszugehen, dass der Beschwerdeführer bei der Rückkehr nach Syrien nicht mit flüchtlingsrechtlich relevanten Nachteilen seitens der dortigen Behörden zu rechnen hat. Seine Furcht vor künftiger Verfolgung erscheint damit auch in dieser Hinsicht als unbegründet. Zusammenfassend ist daher festzuhalten, dass der Beschwerdeführer die Flüchtlingseigenschaft auch unter dem Aspekt der subjektiven Nachfluchtgründe nicht erfüllt.</w:t>
      </w:r>
    </w:p>
    <w:p>
      <w:r>
        <w:rPr>
          <w:b/>
        </w:rPr>
        <w:t>E. 7.1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7.3</w:t>
      </w:r>
    </w:p>
    <w:p>
      <w:r>
        <w:t>Die Vorinstanz ordnete mit Verfügung vom 17. August 2005 aufgrund der Unzumutbarkeit des Vollzuges der Wegweisung die vorläufige Aufnahme des Beschwerdeführers in der Schweiz an. Somit erübrigen sich weitere Ausführungen hinsichtlich der Durchführbarkeit des Wegweisungsvollzuges.</w:t>
      </w:r>
    </w:p>
    <w:p>
      <w:r>
        <w:rPr>
          <w:b/>
        </w:rPr>
        <w:t>E. 8</w:t>
      </w:r>
    </w:p>
    <w:p>
      <w:r>
        <w:t>Aus diesen Erwägungen ergibt sich, dass die angefochtene Verfügung Bundesrecht nicht verletzt, den rechtserheblichen Sachverhalt richtig sowie vollständig feststellt und angemessen ist (Art. 106 AsylG). Das Bundesamt hat zu Recht die Flüchtlingseigenschaft des Beschwerdeführers verneint, das Asylgesuch abgewiesen und die Wegweisung verfügt. Bezüglich dieser Punkte ist die vorinstanzliche Verfügung zu bestätigen und die Beschwerde abzuweisen. Soweit die Frage des Wegweisungsvollzugs betreffend wurde die Beschwerde von der ARK mit Verfügung vom 19. August 2005 als gegenstandslos geworden abgeschrieben (Art. 58 VwVG).</w:t>
      </w:r>
    </w:p>
    <w:p>
      <w:r>
        <w:rPr>
          <w:b/>
        </w:rPr>
        <w:t>E. 9</w:t>
      </w:r>
    </w:p>
    <w:p>
      <w:r>
        <w:t>Bei diesem Ausgang des Verfahrens sind die praxisgemäss um die Hälfte reduzierten Kosten im Betrage von Fr. 300.-- dem Beschwerdeführer aufzuerlegen (Art. 63 Abs. 1 VwVG). Das Gesuch um unentgeltliche Rechtspflege ist abzuweisen, da der Beschwerdeführer aufgrund seiner Erwerbstätigkeit im vorliegenden Kostenrahmen nicht als prozessbedürftig bezeichnet werden kann.</w:t>
      </w:r>
    </w:p>
    <w:p>
      <w:r>
        <w:rPr>
          <w:b/>
        </w:rPr>
        <w:t>E. 10</w:t>
      </w:r>
    </w:p>
    <w:p>
      <w:r>
        <w:t>In Anwendung von Art. 15 i.V.m. Art. 5 des Reglements über die Kosten und Entschädigungen vor dem Bundesverwaltungsgericht vom 21. Februar 2008 (VGKE, SR 173.320.2) hat das BFM dem Beschwerdeführer eine Parteientschädigung zu entrichten, soweit das Beschwerdeverfahren, wie vom BFM bewirkt, gegenstandslos geworden ist. Gestützt auf Art. 64 Abs. 1 VwVG ist dem Beschwerdeführer eine - praxisgemäss um die Hälfte herabgesetzte - Parteientschädigung zu entrichten. Die Vertretungskosten sind unter Berücksichtigung der als angemessen zu bezeichnenden Kostennote der Rechtsvertretung vom 9. September 2005 (total Fr. 1551.59) sowie des bezüglich der weiteren Korrespondenz zuverlässig abschätzbaren Aufwandes auf insgesamt Fr. 2060.-- (inklusive Auslagen und Mehrwertsteuer) festzusetzen. Das BFM ist demnach anzuweisen, dem Beschwerdeführer eine Parteientschädigung im Betrage von Fr. 1030.-- (die Hälfte der gesamten Vertretungskosten und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