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E-3566/2013 vom 10. Juli 2013</w:t>
      </w:r>
    </w:p>
    <w:p>
      <w:r>
        <w:t>Bundesverwaltungsgericht, 2013-07-10, DE</w:t>
      </w:r>
    </w:p>
    <w:p>
      <w:r>
        <w:rPr>
          <w:b/>
        </w:rPr>
        <w:t xml:space="preserve">Quelle: </w:t>
      </w:r>
      <w:r>
        <w:t>https://mcp.opencaselaw.ch/entscheid/bvger_E-3566_2013</w:t>
      </w:r>
    </w:p>
    <w:p>
      <w:r>
        <w:t>FR: TAF E-3566/2013 du 10 juillet 2013</w:t>
      </w:r>
    </w:p>
    <w:p>
      <w:r>
        <w:t>IT: TAF E-3566/2013 del 10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 12, 19 f., 41 Abs. 2, 52 und 68 in der bisherigen Fassung des Asylgesetzes Geltung haben.</w:t>
      </w:r>
    </w:p>
    <w:p>
      <w:r>
        <w:rPr>
          <w:b/>
        </w:rPr>
        <w:t>E. 1.4</w:t>
      </w:r>
    </w:p>
    <w:p>
      <w:r>
        <w:t>Vorliegend steht das Eröffnungsdatum der Verfügung vom 7. Mai 2013 nicht fest. Der Beschwerdeführer bezieht sich in seiner Eingabe vom 10. Juni 2013 auf ein Schreiben der schweizerischen Botschaft vom 22. Mai 2013, mit welchem mutmasslich die negative Verfügung des BFM übermittelt wurde. Damit steht - ohne dass genaue Eröffnungsdatum zu kennen - fest, dass die Beschwerde vom 10. Juni 2013 fristgerecht erfolgt ist (Art. 108 Abs. 1 AsylG). Sie ist auch formgerecht eingereicht (Art. 6 i.V.m.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4.1 Gemäss aArt. 19 Abs. 1 AsylG kann ein Asylgesuch bei einer schweizerischen Vertretung im Ausland gestellt werden. Diese führt in der Regel mit der asylsuchenden Person eine Befragung durch. Ist dies nicht möglich, ist die Person aufzufordern, ihre Asylgründe schriftlich darzulegen (Art. 10 der Asylverordnung 1 vom 11. August 1999 über Verfahrensfragen [AsylV 1, SR 142.311]). Die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(aArt. 20 Abs. 1 und 2 AsylG). 4.2 Vorliegend wurde von Seiten der schweizerischen Botschaft in Colombo aus Kapazitätsgründen auf die Durchführung einer Befragung verzichtet und der Beschwerdeführer mittels Fragen aufgefordert, die Asylvorbringen näher zu umschreiben. In der Folge gelangte das BFM nach Prüfung der Akten zum Schluss, der entscheidrelevante Sachverhalt sei bereits aufgrund der schriftlichen Begründung des Asylgesuches als erstellt zu erachten. Über diesen Schluss wurde der Beschwerdeführer mit Schreiben des BFM vom 1. Februar 2011 in Kenntnis gesetzt, wobei er - zwecks Wahrung des rechtlichen Gehörs - vom BFM gleichzeitig zur Stellungnahme eingeladen wurde. Dabei wurde ihm vom BFM eröffnet, dass eine Abweisung des Asylgesuchs in Erwägung gezogen werde, unter gleichzeitiger Bekanntgabe der entsprechenden Gründe. Der Beschwerdeführer hat indes von der Möglichkeit zur Stellungnahme keinen Gebrauch gemacht. Vor dem Hintergrund der massgeblichen Praxis zur Behandlung von Asylgesuchen aus dem Ausland sowie unter Berücksichtigung der gesamten Aktenlage ist festzustellen, dass in vorliegender Sache auf eine Befragung des Beschwerdeführers verzichtet werden durfte und dass mit der Einladung zur Stellungnahme vom 1. Februar 2011 den massgeblichen verfahrensrechtlichen Anforderungen Genüge getan wurde (vgl. dazu BVGE 2007/30 E 5.6 ff.).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5.2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5.3 Das Bundesamt kann ein im Ausland gestelltes Asylgesuch ablehnen, wenn die asylsuchende Person keine Verfolgung glaubhaft machen kann (Art. 3 und 7 AsylG) oder ihr die Aufnahme in einen Drittstaat zugemutet werden kann (aArt.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BVGE 2011/10 E. 3 m.w.H.).</w:t>
      </w:r>
    </w:p>
    <w:p>
      <w:r>
        <w:rPr>
          <w:b/>
        </w:rPr>
        <w:t>E. 6.1</w:t>
      </w:r>
    </w:p>
    <w:p>
      <w:r>
        <w:t>Mit dem Grundsatzurteil BVGE 2011/24 vom 27. Oktober 2011 hat das Bundesverwaltungsgericht die letztmals im Februar 2008 (vgl. BVGE 2008/2) vorgenommene Lageanalyse betreffend Sri Lanka aktualisiert und seine Praxis angepasst. Gemäss dieser aktuellen Rechtsprechung hat sich seit der Beendigung des militärischen Konflikts zwischen der srilankischen Armee und den LTTE die Sicherheitslage verbessert und stabilisiert. Einer erhöhten Verfolgungsgefahr sind demzufolge Personen, die der Zugehörigkeit zu den LTTE verdächtig werden, sowie politische Dissidenten und Oppositionspolitiker, die den Machtanspruch des Rajapakse-Regimes in Frage stellen, ausgesetzt. Ferner sind als Risikogruppen kritisch auftretende Journalisten, Menschenrechtsaktivisten oder Personen zu nennen, die Opfer und Zeuge schwerer Menschenrechtsverstösse waren und diesbezüglich juristische Schritte eingeleitet haben. Unter Umständen sind auch Rückkehrer aus der Schweiz, denen nahe Kontakte zu den LTTE unterstellt werden, sowie Personen mit beträchtlichen finanziellen Mitteln einer erhöhten Verfolgungsgefahr ausgesetzt. Letztere deshalb, weil auch heute noch Entführungen insbesondere lokaler Geschäftsleute stattfinden sollen, vor denen die staatlichen Behörden im Norden und Osten des Landes nur limitiert respektive ineffizient schützen (vgl. BVGE 2011/24 E. 8).</w:t>
      </w:r>
    </w:p>
    <w:p>
      <w:r>
        <w:rPr>
          <w:b/>
        </w:rPr>
        <w:t>E. 6.2</w:t>
      </w:r>
    </w:p>
    <w:p>
      <w:r>
        <w:t>Der Umstand, dass der Beschwerdeführer und andere Familienmitglieder in den 1990er Jahren in Haft waren, mutmasslich gefoltert wurden und andere nahe Verwandte verloren haben, ist von grosser Tragik. Doch sind seit dieser Zeit viele Jahre vergangen und der Bürgerkrieg gilt seit Mai des Jahres 2009 als beendet. Nach der aktuellen Rechtsprechung und in Übereinstimmung mit der Vorinstanz kommt das Bundesverwaltungsgericht zum Schluss, dass der Beschwerdeführer die Flüchtlingseigenschaft im Sinne von Art. 3 AsylG offensichtlich nicht erfüllt, da er weder ein Profil der erwähnten Risikogruppen erfüllt noch die von ihm erwähnten, seit dem Jahr 2009 gegen ihn ergangenen Drohungen (Unbekannte hätten ihn zu Hause gesucht und seine Familienmitglieder telefonisch belästigt) asylrelevant sind. Seine Befürchtungen, dass er weiterhin von unbekannten Personen bedroht werde, sind - da er weder der LTTE angehört hat noch ein anderes Merkmal einer risikobehafteten Gruppierung aufweist - überdies zu vage umschrieben und zeugen offensichtlich nicht von einer individuellen Verfolgungsgefahr im Sinne von Art. 3 AsylG. Auch wenn noch nicht von einer ruhigen und friedvollen Nachkriegsphase ausgegangen werden kann, hat sich die Lage in der Ostprovinz von Sri Lanka nach Einschätzungen des Bundesverwaltungsgericht seit dem Ende des Bürgerkrieges im Mai 2009 weitgehend stabilisiert und normalisiert. Auch haben die Sicherheitseinschränkungen bereits im Jahr 2009 - als der Bürgerkrieg sich in der Endphase befand - merklich abgenommen (vgl. BVGE 2011/24 E. 13.1). Von daher gesehen ist der Beschwerdeführer als nicht schutzbedürftig anzusehen. Das BFM hat das Asylgesuch des Beschwerdeführers zu Recht abgelehnt und ihm die Einreise verweigert.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