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E-3564/2017 vom 4. Juli 2017</w:t>
      </w:r>
    </w:p>
    <w:p>
      <w:r>
        <w:t>Bundesverwaltungsgericht, 2017-07-04, FR</w:t>
      </w:r>
    </w:p>
    <w:p>
      <w:r>
        <w:rPr>
          <w:b/>
        </w:rPr>
        <w:t xml:space="preserve">Quelle: </w:t>
      </w:r>
      <w:r>
        <w:t>https://mcp.opencaselaw.ch/entscheid/bvger_E-3564_2017</w:t>
      </w:r>
    </w:p>
    <w:p>
      <w:r>
        <w:t>FR: TAF E-3564/2017 du 4 juillet 2017</w:t>
      </w:r>
    </w:p>
    <w:p>
      <w:r>
        <w:t>IT: TAF E-3564/2017 del 4 luglio 2017</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 recourant n'a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affirme avoir été recherché par la police pour avoir organisé un rassemblement de citoyens, mécontents de la gestion de la région par le pouvoir local. Force est, toutefois, de constater que son récit, bien qu'assez précis en ce qui concerne la description des conditions socio-économiques de sa région et des relations entre la population et le pouvoir local, est singulièrement indigent s'agissant des circonstances des prétendues poursuites dont il dit être victime de la part des forces spéciales de la police éthiopienne. En effet, le recourant se borne à affirmer avoir été recherché par les forces de l'ordre, principalement pour avoir organisé la manifestation du (...). Il ne donne toutefois aucun détail particulier sur les poursuites prétendument lancées contre lui, ne serait-ce qu'à propos des personnes impliquées, du déroulement exact des opérations de poursuites ou de la manière dont il aurait pris connaissance de sa situation de personne recherchée. Sur ce dernier point, ses déclarations sont particulièrement indigentes et se limitent au fait que c'est sa mère qui le lui aurait appris. On notera au passage que de simples ouï-dire ne sauraient étayer de manière juridiquement convaincante la réalité des poursuites engagées contre lui. En conséquence, aucun élément concret et sérieux ne permet de d'établir avec un haut degré de probabilité les risques prétendument encourus par le recourant.</w:t>
      </w:r>
    </w:p>
    <w:p>
      <w:r>
        <w:rPr>
          <w:b/>
        </w:rPr>
        <w:t>E. 3.2</w:t>
      </w:r>
    </w:p>
    <w:p>
      <w:r>
        <w:t>Dans ces conditions, le Tribunal ne peut que constater, à l'instar de l'autorité intimée, que l'intéressé n'a pas rendu vraisemblables les motifs mis à l'appui de sa demande d'asile (cf. art. 3 et 7 LAsi). 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l'intéressé n'a pas démontré l'existence d'un risque réel, fondé sur des motifs sérieux et avérés, d'être exposé, en cas de retour en Ethiopie, à des traitements prohibés.</w:t>
      </w:r>
    </w:p>
    <w:p>
      <w:r>
        <w:rPr>
          <w:b/>
        </w:rPr>
        <w:t>E. 6.6</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 8.3 et jurisp. cit.).</w:t>
      </w:r>
    </w:p>
    <w:p>
      <w:r>
        <w:rPr>
          <w:b/>
        </w:rPr>
        <w:t>E. 7.2</w:t>
      </w:r>
    </w:p>
    <w:p>
      <w:r>
        <w:t>En dépit d'un climat d'instabilité,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ATAF 2011/25 consid. 8).</w:t>
      </w:r>
    </w:p>
    <w:p>
      <w:r>
        <w:rPr>
          <w:b/>
        </w:rPr>
        <w:t>E. 7.3</w:t>
      </w:r>
    </w:p>
    <w:p>
      <w:r>
        <w:t>En outre, il ne ressort du dossier aucun élément dont on pourrait inférer que l'exécution du renvoi impliquerait une mise en danger concrète du recourant. A cet égard, l'autorité de céans relève que le recourant est jeune et n'a pas allégué de problème de santé particulier.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Il s'ensuit que le recours, en tant qu'il conteste la décision de renvoi et son exécution doit également être rejeté.</w:t>
      </w:r>
    </w:p>
    <w:p>
      <w:r>
        <w:rPr>
          <w:b/>
        </w:rPr>
        <w:t>E. 10</w:t>
      </w:r>
    </w:p>
    <w:p>
      <w:r>
        <w:t>Dans la mesure où il est immédiatement statué sur le fond, la demande de dispense du paiement d'une avance de frais de procédure est sans objet.</w:t>
      </w:r>
    </w:p>
    <w:p>
      <w:r>
        <w:rPr>
          <w:b/>
        </w:rPr>
        <w:t>E. 11</w:t>
      </w:r>
    </w:p>
    <w:p>
      <w:r>
        <w:t>Le recours s'avérant manifestement infondé est rejeté dans une procédure à juge unique, avec l'approbation d'un second juge (cf. art. 111 let. e LAsi). Il est dès lors renoncé à un échange d'écritures, le présent arrêt n'étant motivé que sommairement (cf. art. 111a al. 1 et 2 LAsi).</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