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E-3558/2014 vom 12. Mai 2016</w:t>
      </w:r>
    </w:p>
    <w:p>
      <w:r>
        <w:t>Bundesverwaltungsgericht, 2016-05-12, FR</w:t>
      </w:r>
    </w:p>
    <w:p>
      <w:r>
        <w:rPr>
          <w:b/>
        </w:rPr>
        <w:t xml:space="preserve">Quelle: </w:t>
      </w:r>
      <w:r>
        <w:t>https://mcp.opencaselaw.ch/entscheid/bvger_E-3558_2014</w:t>
      </w:r>
    </w:p>
    <w:p>
      <w:r>
        <w:t>FR: TAF E-3558/2014 du 12 mai 2016</w:t>
      </w:r>
    </w:p>
    <w:p>
      <w:r>
        <w:t>IT: TAF E-3558/2014 del 12 maggio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Les recourants ont qualité pour recourir (art. 48 al. 1 PA, applicable par renvoi de l'art. 37 LTAF). Présenté dans la forme et le délai prescrits par la loi, le recours est recevable (art. 52 al. 1 PA et art. 108 al. 2 LAsi).</w:t>
      </w:r>
    </w:p>
    <w:p>
      <w:r>
        <w:rPr>
          <w:b/>
        </w:rPr>
        <w:t>E. 2.1</w:t>
      </w:r>
    </w:p>
    <w:p>
      <w:r>
        <w:t>Les intéressés estiment que le SEM a violé leur droit d'être entendu car la recourante aurait dû être entendue par des personnes de sexe féminin, parce que la motivation et le dispositif de la décision ne leur a pas permis de « défendre équitablement leurs chances » ne sachant pas s'ils avaient reçu « une décision matérielle ou de non-entrée en matière », et en raison du délai de cinq jour ouvrables pour recourir.</w:t>
      </w:r>
    </w:p>
    <w:p>
      <w:r>
        <w:rPr>
          <w:b/>
        </w:rPr>
        <w:t>E. 2.2</w:t>
      </w:r>
    </w:p>
    <w:p>
      <w:r>
        <w:t>L'argument des recourants lié aux personnes présentes lors de l'audition de l'intéressée ne saurait être retenu dans la mesure où, lors de l'audition sur ses motifs d'asile, il n'y avait bel et bien que des personnes de sexe féminin, conformément au souhait de l'intéressée.</w:t>
      </w:r>
    </w:p>
    <w:p>
      <w:r>
        <w:rPr>
          <w:b/>
        </w:rPr>
        <w:t>E. 2.3</w:t>
      </w:r>
    </w:p>
    <w:p>
      <w:r>
        <w:t>S'agissant des voies de droit indiquées dans la décision incriminée, et en particulier le délai pour recourir, ce dernier ne souffre d'aucune erreur de la part de l'autorité de première instance. Le Tribunal relève encore que, contrairement à ce que les intéressés ont prétendu, le délai de recours raccourci de l'art. 108 al. 2 LAsi ne s'applique pas uniquement aux décisions de non entrée en matière, mais également - comme en l'espèce - aux décisions matérielles visées à l'art. 40 LAsi en relation avec l'art. 6a al. 2 let. a LAsi, étant rappelé que le Conseil fédéral a désigné, le 28 juin 2000, la Mongolie comme Etat exempt de persécution (safe country) au sens de cette disposition.</w:t>
      </w:r>
    </w:p>
    <w:p>
      <w:r>
        <w:rPr>
          <w:b/>
        </w:rPr>
        <w:t>E. 2.4</w:t>
      </w:r>
    </w:p>
    <w:p>
      <w:r>
        <w:t>La qualification juridique de la décision attaquée ne souffrant d'aucune ambiguïté et les voies de droit ayant été correctement indiquées par le SEM, les intéressés ne sauraient prétendre n'avoir pas pu se déterminer en toute connaissance de cause sur l'opportunité d'un recours. Le grief tiré d'une violation du droit d'être entendu doit dès lors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lieu de tenir compte des motifs de fuite spécifiques aux femmes (art. 3 al. 1 et 2 LAsi;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2013/11 du 15 avril 2013 consid. 5.1 p. 142 ss; ATAF 2010/57 du 1er septembre 2010 consid. 2.3 p. 826 ss; Jurisprudence et informations de la Commission suisse de recours en matière d'asile [JICRA] 2005 n° 21 consid. 6.1 p. 190 ss).</w:t>
      </w:r>
    </w:p>
    <w:p>
      <w:r>
        <w:rPr>
          <w:b/>
        </w:rPr>
        <w:t>E. 4.1</w:t>
      </w:r>
    </w:p>
    <w:p>
      <w:r>
        <w:t>Dans sa décision du 24 juin 2014, le SEM a estimé que les déclarations des intéressés étaient contradictoires, peu crédibles, infondées et qu'elles ne satisfaisaient pas aux exigences de vraisemblance énoncées à l'art. 7 LAsi. Il s'est ainsi dispensé d'en examiner la pertinence. Il a en particulier jugé infondées les allégations relatives à l'activité de soldat exercée par le recourant et à l'accusation portée contre lui, vu l'absence de détails et le manque de logique que comportait son récit sur ces points. L'autorité inférieure a également relevé des contradictions quant à la date à laquelle le recourant aurait mis son épouse au courant des événements survenus sur son lieu de travail, à la chronologie de ces derniers et au fait de les avoir signalés ou non à la police.</w:t>
      </w:r>
    </w:p>
    <w:p>
      <w:r>
        <w:rPr>
          <w:b/>
        </w:rPr>
        <w:t>E. 4.2</w:t>
      </w:r>
    </w:p>
    <w:p>
      <w:r>
        <w:t>Les recourants ont estimé qu'ils avaient donné suffisamment d'éléments indiquant qu'ils étaient victimes de persécution dans leur pays d'origine. Ils ont principalement contesté, extraits de rapports internationaux et d'ONG à l'appui, que la Mongolie soit considérée comme un Etat sûr.</w:t>
      </w:r>
    </w:p>
    <w:p>
      <w:r>
        <w:rPr>
          <w:b/>
        </w:rPr>
        <w:t>E. 4.3</w:t>
      </w:r>
    </w:p>
    <w:p>
      <w:r>
        <w:t>Le Tribunal fait sienne l'appréciation du SEM. Le récit des recourants est en effet évasif, lacunaire et incohérent, de sorte qu'il ne satisfait pas aux conditions de vraisemblances de l'art. 7 LAsi. Il n'existe, en outre, aucun argument au stade du recours permettant de la remettre en cause.</w:t>
      </w:r>
    </w:p>
    <w:p>
      <w:r>
        <w:rPr>
          <w:b/>
        </w:rPr>
        <w:t>E. 4.3.1</w:t>
      </w:r>
    </w:p>
    <w:p>
      <w:r>
        <w:t>Ainsi, les propos du recourant s'agissant des accusations portées contre lui sur son lieu de travail et leurs conséquences sont vagues, au point qu'il est difficile d'établir une chronologie des faits et d'appréhender de manière claire les événements qui auraient réellement provoqué la fuite du pays de toute la famille. Il n'a pas su décrire le type d'armes qu'on lui aurait ordonné de charger, ni leur nombre, alors qu'il a prétendu avoir rédigé un rapport concernant ce chargement. Il n'a pas réussi à exposer de manière claire les événements qui se seraient produits entre le moment où il aurait été accusé de « trafic d'armes » et son départ du pays, se limitant à indiquer qu'il se rendait régulièrement « à l'office » pour prouver son innocence. Il n'a pas non plus expliqué pourquoi il aurait été laissé en liberté alors qu'il devait être jugé, tout en déclarant, par la suite, qu'il ne savait en réalité pas, s'il faisait l'objet d'une accusation officielle ou pas.</w:t>
      </w:r>
    </w:p>
    <w:p>
      <w:r>
        <w:rPr>
          <w:b/>
        </w:rPr>
        <w:t>E. 4.3.2</w:t>
      </w:r>
    </w:p>
    <w:p>
      <w:r>
        <w:t>Les déclarations des intéressés sont également contradictoires. Le recourant a désigné la personne, qui lui aurait ordonné de charger ces armes dans le véhicule comme le « chef officier », puis comme le « commandant », expliquant que ces termes désignaient en réalité une seule et même personne et que l'accusation de vol provenait du colonel. Lors de la première audition, il a indiqué avoir reçu son arrêt de travail le jour où il a été accusé d'avoir volé les armes, soit le (...) novembre 2013. Or, d'après la deuxième audition, il aurait reçu l'ordre de charger les armes le (...) novembre 2013, aurait été accusé du vol au mois de décembre et aurait reçu son arrêt de travail au mois de janvier. Il est également incohérent que A._______ craigne le commandant et ses hommes, mais qu'il se rende tous les jours sur les lieux où travaillent ces personnes. Ses propos ont également divergé s'agissant du mois précédent sa fuite ; il serait soit resté à la maison parce qu'il craignait une interpellation de la police, soit lui et sa famille auraient vécu chez un de ses amis. En outre, les récits des intéressés ne coïncident pas entre eux sur un nombre d'éléments significatifs. S'agissant tout d'abord de leurs pièces d'identité, le recourant a déclaré que la sienne était restée en Mongolie car il était « pressé » de partir et n'avait donc pas pensé à la prendre. En revanche, la recourante a indiqué que les documents avaient été laissés à un ami car on leur avait dit qu'il n'était pas utile de les prendre avec eux. S'agissant de l'incident survenu sur le lieu de travail de l'intéressé, celui-ci a affirmé n'être jamais allé à la police, alors qu'elle a indiqué le contraire, précisant que son mari s'était rendu auprès des autorités « pour son affaire », et non pour le viol allégué. De plus, B._______ a tout d'abord déclaré qu'elle avait « tout appris » pendant leur voyage, après leur fuite du pays, pour ensuite indiquer que son mari lui avait tout raconté après avoir appris son viol, en (...) 2014, soit un mois avant leur départ. Ce dernier a encore précisé qu'après l'agression sexuelle de la recourante, il lui avait fait part de son désir « d'aller jusqu'au bout pour prouver son innocence », laissant entendre qu'il lui avait déjà relaté les faits survenus sur son lieu de travail. Son épouse, en pensant à ses enfants, l'en aurait dissuadé et ils auraient organisé leur fuite. Enfin, l'intéressé a déclaré qu'entre le jour du viol de son épouse et leur fuite, ils avaient entrepris « les démarches pour partir du pays », déclaration en contradiction avec celle de son épouse, selon laquelle ils avaient appris « d'un coup » qu'ils devaient quitter le pays.</w:t>
      </w:r>
    </w:p>
    <w:p>
      <w:r>
        <w:rPr>
          <w:b/>
        </w:rPr>
        <w:t>E. 4.4</w:t>
      </w:r>
    </w:p>
    <w:p>
      <w:r>
        <w:t>Au vu de ce qui précède, c'est à raison que le SEM a considéré que les déclarations des recourants n'étaient pas vraisemblables. Partant, le recours, en tant qu'il porte sur la reconnaissance de la qualité de réfugié et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En l'occurrence, les recourants n'ont pas rendu hautement probable qu'ils seraient personnellement visés, en cas de retour dans leur pays d'origine, par des mesures incompatibles avec l'art. 3 CEDH ou d'autres dispositions contraignantes de droit international. Dès lors, l'exécution de leur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7.2</w:t>
      </w:r>
    </w:p>
    <w:p>
      <w:r>
        <w:t>Il est notoire que la Mongolie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contraire, le Conseil fédéral l'a désigné comme Etat d'origine ou de provenance exempt de persécution (« safe country »), en application de l'art. 6a al. 2 let. a LAsi et aucun des arguments des recourants ne permet de remettre en cause la qualification d'Etat sûr de ce pays.</w:t>
      </w:r>
    </w:p>
    <w:p>
      <w:r>
        <w:rPr>
          <w:b/>
        </w:rPr>
        <w:t>E. 7.3</w:t>
      </w:r>
    </w:p>
    <w:p>
      <w:r>
        <w:t>En outre, il ne ressort du dossier aucun élément dont on pourrait inférer que l'exécution du renvoi impliquerait une mise en danger concrète des recourants. A cet égard, le Tribunal relève que, selon leurs déclarations, les recourants proviennent d'Oulan-Bator, où ils disposent d'un réseau familial et social. Ils sont tous deux au bénéfice d'une expérience professionnelle et n'ont pas allégué de problème de santé particulier. Enfin, âgées de (...) et (...) ans, leurs filles sont dans un âge où elles n'ont pas encore développé de liens spécialement étroits avec la Suisse. Elles restent dans une large mesure rattachées à leur pays d'origine par l'entremise de leurs parents. Aussi, le facteur lié à la déstabilisation d'enfants aussi jeunes en raison du changement de pays, n'est pas pertinent, en l'absence d'un déracinement d'avec leur pays d'origine au sens que donne à cette expression la jurisprudence (ATAF 2014/26 consid. 7.6 ; 2009/51 consid. 5.6 ; 2009/28 consid. 9.3.2 et réf. cit.).</w:t>
      </w:r>
    </w:p>
    <w:p>
      <w:r>
        <w:rPr>
          <w:b/>
        </w:rPr>
        <w:t>E. 7.4</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(ATAF 2008/34 consid. 12).</w:t>
      </w:r>
    </w:p>
    <w:p>
      <w:r>
        <w:rPr>
          <w:b/>
        </w:rPr>
        <w:t>E. 9.1</w:t>
      </w:r>
    </w:p>
    <w:p>
      <w:r>
        <w:t>Il s'ensuit que le recours, en tant qu'il conteste la décision de renvoi et son exécution, doit être également rejeté.</w:t>
      </w:r>
    </w:p>
    <w:p>
      <w:r>
        <w:rPr>
          <w:b/>
        </w:rPr>
        <w:t>E. 9.2</w:t>
      </w:r>
    </w:p>
    <w:p>
      <w:r>
        <w:t>Néanmoins, la procédure devant l'autorité de céans ayant duré près de deux ans, un délai de départ d'un jour n'est pas proportionnel (JICRA 2004/27 consid. 5). Partant, il y a lieu d'annuler le chiffre 4 du dispositif de la décision du 24 juin 2014 et d'inviter le SEM à fixer un nouveau délai de départ.</w:t>
      </w:r>
    </w:p>
    <w:p>
      <w:r>
        <w:rPr>
          <w:b/>
        </w:rPr>
        <w:t>E. 10</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Cependant, la motivation de l'autorité inférieure comportant une erreur, rectifiée uniquement dans le préavis, il y est renoncé (art. 63 al. 1 PA et art. 6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