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E-3554/2015 vom 18. Juni 2015</w:t>
      </w:r>
    </w:p>
    <w:p>
      <w:r>
        <w:t>Bundesverwaltungsgericht, 2015-06-18, DE</w:t>
      </w:r>
    </w:p>
    <w:p>
      <w:r>
        <w:rPr>
          <w:b/>
        </w:rPr>
        <w:t xml:space="preserve">Quelle: </w:t>
      </w:r>
      <w:r>
        <w:t>https://mcp.opencaselaw.ch/entscheid/bvger_E-3554_2015</w:t>
      </w:r>
    </w:p>
    <w:p>
      <w:r>
        <w:t>FR: TAF E-3554/2015 du 18 juin 2015</w:t>
      </w:r>
    </w:p>
    <w:p>
      <w:r>
        <w:t>IT: TAF E-3554/2015 del 18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ist insoweit einzutreten (Art. 52 VwVG und Art. 108 Abs. 1 AsylG).</w:t>
      </w:r>
    </w:p>
    <w:p>
      <w:r>
        <w:rPr>
          <w:b/>
        </w:rPr>
        <w:t>E. 1.2</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Urteil BVGer D-103/2014 vom 21. Januar 2015 E. 4 ff. [zur Publikation vorgesehen]).</w:t>
      </w:r>
    </w:p>
    <w:p>
      <w:r>
        <w:rPr>
          <w:b/>
        </w:rPr>
        <w:t>E. 1.3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2.1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2.2</w:t>
      </w:r>
    </w:p>
    <w:p>
      <w:r>
        <w:t>Gemäss Art. 19 Abs. 1 aAsylG kann ein Asylgesuch im Ausland bei einer Schweizerischen Vertretung gestellt werden, die es mit einem Bericht an das Bundesamt überweist (Art. 20 Abs. 1 aAsylG).</w:t>
      </w:r>
    </w:p>
    <w:p>
      <w:r>
        <w:rPr>
          <w:b/>
        </w:rPr>
        <w:t>E. 2.3</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3.1</w:t>
      </w:r>
    </w:p>
    <w:p>
      <w:r>
        <w:t>Die Vorinstanz hat in tatsächlicher Hinsicht den Massstab der Schutzbedürftigkeit nicht verkannt und auf den vorliegenden Fall korrekt angewendet. In der angefochtenen Verfügung wird einlässlich begründet, weshalb die Aussagen und Ausführungen offensichtlich nicht von Asylrelevanz sind. Die Beschwerdeführerin setzt sich mit der vorinstanzlichen Beweiswürdigung nicht auseinander und zeigt nicht auf, inwiefern diese Bundesrecht verletzen sollte. Solches ist auch nicht ersichtlich. Sie macht lediglich geltend, dass sie vor Respekt und aus Angst anlässlich der Befragung nicht das "wahre Bild" habe wiedergeben können. Dadurch, dass sie zwei Daten nach Oktober 2013 nennt, versucht sie zu vermitteln, sie sei auch nach dieser Zeit gesucht worden. Nicht zuletzt in Anbetracht des nicht vollständig "wahren Bilds" überzeugt diese kurze und unsubstantiiert nachgeschobene Angabe nicht. Bereits die Tatsache, dass sie oder ihr Ehemann auf die ausführliche Aufforderung des SEM vom 8. Februar 2011 nicht geantwortet haben, zeugt davon, dass sie nicht im Sinne von Art. 3 AsylG auf den Schutz der Schweiz angewiesen sind, liegt doch der Ursprung der angeblichen Probleme in dieser Zeit. Auch lebt die Beschwerdeführerin mit ihrer Mutter und ihren Kindern, geht einer Arbeit nach und geniesst die Unterstützung ihrer Schwiegermutter und hatte gemäss ihren ursprünglichen Ausführungen seit Oktober 2013 keine Probleme mehr. Bei dieser Sachlage sind zukünftig einreiserelevante Behelligungen durch die sri-lankischen Sicherheitskräfte ausgeschlossen. Die Beschwerdeführerin erkennt ihre Probleme darin, dass sie ohne ihren Ehemann lebt und sich seit dessen freiwilligen Verschwindens Sorgen um die finanzielle Zukunft und die Gesundheit ihrer Mutter macht, was - wie die Vorinstanz richtig erkennt - nicht von Asylrelevanz ist (Befragung vom 6. Februar 2015, S. 5, SEM-Akte A 8, S. 5) ist. Um Wiederholungen zu vermeiden, kann auf die ausführlichen Ausführungen in der angefochtenen Verfügung verwiesen werden. Im Übrigen ist weder eine Nähe zur Schweiz ersichtlich noch wird eine solche geltend gemacht.</w:t>
      </w:r>
    </w:p>
    <w:p>
      <w:r>
        <w:rPr>
          <w:b/>
        </w:rPr>
        <w:t>E. 3.2</w:t>
      </w:r>
    </w:p>
    <w:p>
      <w:r>
        <w:t>Zusammenfassend ist festzustellen, dass der Beschwerdeführerin und ihren Kindern der weitere Verbleib in Sri Lanka zumutbar ist und sie auf den Schutz der Schweiz nicht angewiesen sind. Die Vorinstanz hat demnach zu Recht die Einreise in die Schweiz nicht bewilligt und das Asylgesuch aus dem Ausland abgelehnt.</w:t>
      </w:r>
    </w:p>
    <w:p>
      <w:r>
        <w:rPr>
          <w:b/>
        </w:rPr>
        <w:t>E. 4</w:t>
      </w:r>
    </w:p>
    <w:p>
      <w:r>
        <w:t>Aus diesen Erwägungen ergibt sich, dass die angefochtene Verfügung Bundesrecht nicht verletzt und auch sonst nicht zu beanstanden ist (Art. 106 Abs. 1 AsylG). Die Beschwerde ist abzuweisen.</w:t>
      </w:r>
    </w:p>
    <w:p>
      <w:r>
        <w:rPr>
          <w:b/>
        </w:rPr>
        <w:t>E. 5</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