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E-3553/2024 vom 29. Juli 2024</w:t>
      </w:r>
    </w:p>
    <w:p>
      <w:r>
        <w:t>Bundesverwaltungsgericht, 2024-07-29, DE</w:t>
      </w:r>
    </w:p>
    <w:p>
      <w:r>
        <w:rPr>
          <w:b/>
        </w:rPr>
        <w:t xml:space="preserve">Quelle: </w:t>
      </w:r>
      <w:r>
        <w:t>https://mcp.opencaselaw.ch/entscheid/bvger_E-3553_2024</w:t>
      </w:r>
    </w:p>
    <w:p>
      <w:r>
        <w:t>FR: TAF E-3553/2024 du 29 juillet 2024</w:t>
      </w:r>
    </w:p>
    <w:p>
      <w:r>
        <w:t>IT: TAF E-3553/2024 del 29 luglio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suchte am 21. März 2022 um Asyl nach.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VVG). Dennoch steht der Zeitpunkt der Beschwerdeerhebung nicht völlig im Belieben der beschwerdeführenden Person. Der Grundsatz von Treu und Glauben bildet hier eine Grenze. Der Zeitpunkt der Beschwerdeerhebung ist vorliegend nicht zu beanstanden.</w:t>
      </w:r>
    </w:p>
    <w:p>
      <w:r>
        <w:rPr>
          <w:b/>
        </w:rPr>
        <w:t>E. 1.5.1</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des Beschwerdeführers an der Vornahme der allenfalls verzögerten Amtshandlung manifestiert sich einerseits in den bei den Akten liegenden Eingaben, mit denen er um beförderliche Verfahrenserledigung gebeten hat. Andererseits ergibt es sich aus der Tatsache, dass das SEM bis anhin noch nicht in der Sache verfügt hat.</w:t>
      </w:r>
    </w:p>
    <w:p>
      <w:r>
        <w:rPr>
          <w:b/>
        </w:rPr>
        <w:t>E. 1.6</w:t>
      </w:r>
    </w:p>
    <w:p>
      <w:r>
        <w:t>Gestützt auf die vorstehenden Erwägungen ist auf die formgerecht eingereichte (Art. 52 Abs. 1 VwVG) Rechtsverzögerungsbeschwerde einzutreten.</w:t>
      </w:r>
    </w:p>
    <w:p>
      <w:r>
        <w:rPr>
          <w:b/>
        </w:rPr>
        <w:t>E. 2</w:t>
      </w:r>
    </w:p>
    <w:p>
      <w:r>
        <w:t>Das Verfahren richtet sich nach dem VwVG, soweit das VGG nichts anderes bestimmt (Art. 37 VGG).</w:t>
      </w:r>
    </w:p>
    <w:p>
      <w:r>
        <w:rPr>
          <w:b/>
        </w:rPr>
        <w:t>E. 3</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zum Ganzen etwa das Urteil des BVGer E-1438/2018 vom 5. April 2018 E. 3.2 m.w.H.).</w:t>
      </w:r>
    </w:p>
    <w:p>
      <w:r>
        <w:rPr>
          <w:b/>
        </w:rPr>
        <w:t>E. 5.1</w:t>
      </w:r>
    </w:p>
    <w:p>
      <w:r>
        <w:t>Der Beschwerdeführer verweist zur Begründung seiner Beschwerde darauf, dass er sich nun seit mehr als zwei Jahren in der Schweiz aufhalte. Seit dem letzten Verfahrensschritt, über den er in Kenntnis gesetzt worden sei, sei mehr als ein Jahr vergangen. Der letzte für das Asylverfahren relevante Verfahrensschritt, nämlich die Beweismitteleingabe vom 16. Juni 2023, liege wiederum ein Jahr zurück. Objektiv seien keine weiteren Verfahrensschritte erkennbar, welche eine Verzögerung rechtfertigten. DieVorinstanz habe ihn jedenfalls nicht über weitere Verfahrensschritte in Kenntnis gesetzt, weshalb davon auszugehen sei, dass sämtliche Abklärungen in der vergangenen Zeit erfolgt seien oder zumindest mit der notwendigen Beförderlichkeit bereits hätten erfolgen können und der Asylentscheid spruchreif sei. Zudem habe die Vorinstanz seit einem Jahr keine Schreiben von ihm beantwortet. Angesichts dessen sei vorliegend von einer übermässig langen Verfahrensdauer auszugehen. Das Beschleunigungsgebot gemäss Art. 29 Abs. 1 BV sei aufgrund der unverhältnismässig langen Verfahrensdauer missachtet worden, weshalb sich die Rechtsverzögerungsbeschwerde als begründet erweise. Die Beschwerde sei demnach gutzuheissen und die Vorinstanz anzuweisen, sein Asylgesuch vom 21. März 2022 rasch zu behandeln und einem Entscheid zuzuführen beziehungsweise allenfalls erforderliche Abklärungen umgehend an die Hand zu nehmen.</w:t>
      </w:r>
    </w:p>
    <w:p>
      <w:r>
        <w:rPr>
          <w:b/>
        </w:rPr>
        <w:t>E. 5.2</w:t>
      </w:r>
    </w:p>
    <w:p>
      <w:r>
        <w:t>Die Vorinstanz führte in der Vernehmlassung aus, sie sei sich bewusst, dass das Asylverfahren des Beschwerdeführers bereits eine längere Zeit dauere. Die nach wie vor aussergewöhnlich hohe Anzahl von Pendenzen der Asyl- und Schutzgesuche führe leider dazu, dass die Behandlung der Gesuche länger als üblich dauere. Im vorliegenden Fall werde zeitnah ein Entscheid gefällt.</w:t>
      </w:r>
    </w:p>
    <w:p>
      <w:r>
        <w:rPr>
          <w:b/>
        </w:rPr>
        <w:t>E. 6.1</w:t>
      </w:r>
    </w:p>
    <w:p>
      <w:r>
        <w:t>Eingangs ist festzuhalten, dass das Bundesverwaltungsgericht Kenntnis von der hohen Arbeitslast beim SEM hat und es grundsätzlich als nachvollziehbar und unvermeidbar erachtet, dass nicht alle Verfahren innerhalb der gesetzlich vorgesehenen Behandlungsfristen abgeschlossen werden können (vgl. i.c. Art. 37 Abs. 4 AsylG), sondern länger dauern, insbesondere dann, wenn sich noch Abklärungsmassnahmen aufdrängen. Das SEM darf und muss Priorisierungen vornehmen (Art. 37b AsylG), was - gerade unter Berücksichtigung der ausserordentlichen Situation im Zuge der Ukraine-Krise - unweigerlich zur Überschreitung gewisser Behandlungsfristen führen kann (vgl. etwa Urteile des BVGer E-1189/2024 vom 21. Mai 2024 E. 6.4.1 und D-4765/2022 vom 14. Dezember 2022 E. 4.2.1).</w:t>
      </w:r>
    </w:p>
    <w:p>
      <w:r>
        <w:rPr>
          <w:b/>
        </w:rPr>
        <w:t>E. 6.2</w:t>
      </w:r>
    </w:p>
    <w:p>
      <w:r>
        <w:t>Aufgrund der vorinstanzlichen Akten ist festzustellen, dass das SEM seit der Anhörung nach Art. 29 AsylG / Ergänzenden Anhörung im erweiterten Verfahren (vgl. SEM-act. 38/15) vom 31. Mai 2023 - bis auf ein Antwortschreiben auf eine Verfahrensstandanfrage (vgl. SEM-act. 41/2 f.) - keine (verfahrensrelevanten) Schritte unternommen hat. Zwar reichte der Beschwerdeführer am 16. Juni 2023 als Beweismittel ein Referenzschreiben ein (vgl. SEM-act. 39/1 f.). Aufgrund des Umfangs von lediglich rund einer Seite ist aber nicht davon auszugehen, diese Eingabe sei für die Verzögerung des Verfahrens im vorliegenden Ausmass mitverantwortlich. Weder wurden die Verfahrensstandanfragen des Beschwerdeführers respektive von dessen Rechtsvertreterin vom 16. November 2023, 21. April 2024 und 29. April 2024 (vgl. SEM-act. 43/1, 45/2 und 46/1) durch die Vorinstanz beantwortet, noch sind vom 16. November 2023 bis zur Einreichung der Beschwerde vom 5. Juni 2024 aus dem Aktenverzeichnis Verfahrensschritte ersichtlich. Ein solches Vorgehen ist mit den rechtlichen Ansprüchen des Beschwerdeführers (vgl. Art. 29 Abs. 1 BV; hierzu zuvor E. 4.1) nicht zu vereinbaren. Der pauschale Verweis auf die hohe Anzahl von Pendenzen ändert daran ebenso wenig wie die Tatsache, dass am 2. Juli 2024 durch die Vorinstanz Verfahrensschritte vorgenommen wurden, zumal sich daraus noch keine Hinweise entnehmen lassen, dass in absehbarer Zeit ein Entscheid gefällt wird.</w:t>
      </w:r>
    </w:p>
    <w:p>
      <w:r>
        <w:rPr>
          <w:b/>
        </w:rPr>
        <w:t>E. 6.3</w:t>
      </w:r>
    </w:p>
    <w:p>
      <w:r>
        <w:t>Angesichts der vorliegenden Umstände ist in einer Gesamtbetrachtung festzustellen, dass die Dauer des Asylverfahrens des Beschwerdeführers als unangemessen lang zu erachten ist. Die vom Beschwerdeführer vorgebrachte Rüge, dem SEM sei bei der Behandlung seines Asylgesuchs eine Rechtsverzögerung vorzuwerfen, ist daher als gerechtfertigt zu erachten.</w:t>
      </w:r>
    </w:p>
    <w:p>
      <w:r>
        <w:rPr>
          <w:b/>
        </w:rPr>
        <w:t>E. 7</w:t>
      </w:r>
    </w:p>
    <w:p>
      <w:r>
        <w:t>Folglich ist die Beschwerde gutzuheissen. Das SEM ist zudem anzuweisen, das Asylgesuch des Beschwerdeführers ohne weitere Verzögerung zu behandeln und das betreffende Verfahren zum Abschluss zu bringen.</w:t>
      </w:r>
    </w:p>
    <w:p>
      <w:r>
        <w:rPr>
          <w:b/>
        </w:rPr>
        <w:t>E. 8.1</w:t>
      </w:r>
    </w:p>
    <w:p>
      <w:r>
        <w:t>Bei diesem Ausgang des Verfahrens sind keine Kosten zu erheben (Art. 63 Abs. 2 und 3 VwVG i.V.m. Art. 37 VGG).</w:t>
      </w:r>
    </w:p>
    <w:p>
      <w:r>
        <w:rPr>
          <w:b/>
        </w:rPr>
        <w:t>E. 8.2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rubrizierte Rechtsvertreterin des Beschwerdeführers macht in der zu den Akten gereichten Kostennote einen Aufwand von Fr. 633.50 geltend. Der geltend gemachte zeitliche Aufwand von insgesamt 125 Minuten und der Stundenansatz von Fr. 300.- sind nicht zu beanstanden. Ebenfalls erscheinen die geltend gemachten Kosten für Auslagen von Fr. 8.50 angemessen. Gestützt auf die in Betracht zu ziehenden Bemessungsfaktoren (Art. 9-13 VGKE) ist das SEM anzuweisen, dem Beschwerdeführer eine Parteientschädigung in der Höhe von Fr. 634.-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