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E-3553/2014 vom 1. Juli 2014</w:t>
      </w:r>
    </w:p>
    <w:p>
      <w:r>
        <w:t>Bundesverwaltungsgericht, 2014-07-01, DE</w:t>
      </w:r>
    </w:p>
    <w:p>
      <w:r>
        <w:rPr>
          <w:b/>
        </w:rPr>
        <w:t xml:space="preserve">Quelle: </w:t>
      </w:r>
      <w:r>
        <w:t>https://mcp.opencaselaw.ch/entscheid/bvger_E-3553_2014</w:t>
      </w:r>
    </w:p>
    <w:p>
      <w:r>
        <w:t>FR: TAF E-3553/2014 du 1 juillet 2014</w:t>
      </w:r>
    </w:p>
    <w:p>
      <w:r>
        <w:t>IT: TAF E-3553/2014 del 1 luglio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das BFM ablehnt, das Asylgesuch auf seine Begründetheit hin zu überprüfen (Art. 31a Abs. 1-3 AsylG), ist die Beurteilungskompetenz der Beschwerdeinstanz grundsätzlich auf die Frage beschränkt ist, ob die Vorinstanz zu Recht auf das Asylgesuch nicht eingetreten ist (BVGE 2011/9 E. 5.).</w:t>
      </w:r>
    </w:p>
    <w:p>
      <w:r>
        <w:rPr>
          <w:b/>
        </w:rPr>
        <w:t>E. 4.2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Ist gemäss Art. 13 Abs. 2 Dublin-III-VO ein Mitgliedstaat nicht oder gemäss Absatz 1 dieses Artikels nicht länger zuständig und wird auf der Grundlage von Beweismittel oder Indizien gemäss Art. 22 Abs. 3 der Dublin-III-VO festgestellt, dass ein Antragsteller, der illegal in die Hoheitsgebiete der Mitgliedstaaten eingereist ist oder bei dem die Umstände der Einreise nicht festgestellt werden können, sich vor der Antragstellung während eines ununterbrochenen Zeitraums von mindestens fünf Monaten in einem Mitgliedstaat aufgehalten hat, so ist dieser Mitgliedstaat für die Prüfung des Antrags auf internationalen Schutz zuständig.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spanischen Behörden hätten ihre Zuständigkeit anerkannt. Der Beschwerdeführer habe zehn Jahre in Spanien gelebt. Er könne sich an die zuständigen spanischen Behörden wenden, um die beanspruchten Bedürfnisse anzumelden. Die Partnerin und die Kinder seien im Übrigen gemäss deren Angaben in Spanien vom Sozialamt unterstützt worden.</w:t>
      </w:r>
    </w:p>
    <w:p>
      <w:r>
        <w:rPr>
          <w:b/>
        </w:rPr>
        <w:t>E. 5.2</w:t>
      </w:r>
    </w:p>
    <w:p>
      <w:r>
        <w:t>Der Beschwerdeführer beanstandet in der Rechtsmitteleingabe die grundsätzliche Zuständigkeit Spaniens zu Recht nicht. Einzig macht er geltend, das Überleben in Spanien sei schwierig. Die spanischen Behörden hätten das Betteln vor Supermärkten, womit er sich den Lebensunterhalt für die Familie verdient habe, verboten. Es sei deshalb nicht gewährleistet, dass seine Kinder genügend zu essen hätten und die nötige Schulausbildung sowie medizinische Versorgung erhalten würden. Diese Einwände sind nicht geeignet, den vorinstanzlichen Schluss, Spanien sei für die Behandlung des Asylgesuchs des Beschwerdeführers zuständig, in Frage zu ziehen. Spanien ist Signaturstaat des Abkommens vom 28. Juli 1951 über die Rechtsstellung der Flüchtlinge (FK, SR 0.142.30), der EMRK und des Übereinkommens vom 10. Dezember 1984 gegen Folter oder andere grausame, unmenschliche oder erniedrigende Behandlung oder Strafe (FoK, SR 0.105). Angesichts der Vermutung, wonach jener Staat, der für die Prüfung des Asylgesuchs zuständig ist, die völkerrechtlichen Verpflichtungen einhalte, obliegt es dem Beschwerde-führer, diese Vermutung umzustossen (Urteil des Europäischen Gerichtshofs für Menschenrechte [EGMR] M.S.S. gegen Belgien und Griechenland vom 21. Januar 2011, Nr. 30696/09, § 84 f. und 250; ebenso Urteil des Gerichtshof der Europäischen Gemeinschaften [EuGH] vom 21. Dezember 2011 C-411/10 und C-493). Es bestehen keine konkreten Hinweise dafür, wonach sich Spanien nicht an die massgebenden völkerrechtlichen Bestimmungen halten würde. Auch bringt der Beschwerdeführer in der Rechtsmitteleingabe mit dem blossen Wiederholen des aktenkundigen Sachverhalts nichts vor, das den Schluss zuliesse, die spanischen Behörden würden in seinem konkreten Fall das Völkerrecht verletzen und ihm nicht den notwendigen Schutz gewähren oder ihn menschenunwürdigen Lebensumständen aussetzen. Es obliegt dem Beschwerdeführer, seine spezifische Situation und Schwierigkeiten bei den zuständigen spanischen Behörden vorzubringen und durchzusetzen. Auch bestehen nach den Erkenntnissen des Gerichts in Spanien nebst den staatlichen Strukturen zahlreiche private Hilfsorganisationen, welche Asylsuchende betreuen und bei allfälligen gesundheitlichen Problemen medizinisch versorgen. Damit liegen keine Gründe vor, welche eine Überstellung des Beschwerdeführers als unzulässig oder unzumutbar erscheinen liessen. Demnach besteht auch keine Veranlassung für einen Selbsteintritt der Schweiz.</w:t>
      </w:r>
    </w:p>
    <w:p>
      <w:r>
        <w:rPr>
          <w:b/>
        </w:rPr>
        <w:t>E. 6.1</w:t>
      </w:r>
    </w:p>
    <w:p>
      <w:r>
        <w:t>Spanien ist somit für die Durchführung des Asyl- und Wegweisungsverfahrens des Beschwerdeführers gemäss der Dublin-III-VO zuständig und entsprechend verpflichtet, ihn gemäss Art. 13 Abs. 2 Dublin-III-VO aufzunehmen. Die Vorinstanz ist in Anwendung von Art. 31a Abs. 1 Bst. b AsylG zu Recht auf das Asylgesuch des Beschwerdeführers nicht eingetreten. Da der Beschwerdeführer auch nicht im Besitz einer gültigen Aufenthalts- oder Niederlassungsbewilligung ist, hat die Vorinstanz in Anwendung von Art. 44 AsylG ebenfalls zu Recht die Überstellung nach Spanien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kantonalen Behörden seien anzuweisen, von Vollzugshandlungen abzusehen, gegenstandslos geworden.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