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E-3551/2020 vom 5. August 2020</w:t>
      </w:r>
    </w:p>
    <w:p>
      <w:r>
        <w:t>Bundesverwaltungsgericht, 2020-08-05, DE</w:t>
      </w:r>
    </w:p>
    <w:p>
      <w:r>
        <w:rPr>
          <w:b/>
        </w:rPr>
        <w:t xml:space="preserve">Quelle: </w:t>
      </w:r>
      <w:r>
        <w:t>https://mcp.opencaselaw.ch/entscheid/bvger_E-3551_2020</w:t>
      </w:r>
    </w:p>
    <w:p>
      <w:r>
        <w:t>FR: TAF E-3551/2020 du 5 août 2020</w:t>
      </w:r>
    </w:p>
    <w:p>
      <w:r>
        <w:t>IT: TAF E-3551/2020 del 5 agosto 2020</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insoweit einzutreten (Art. 108 Abs. 1 AsylG und Art. 52 Abs. 1 VwVG).</w:t>
      </w:r>
    </w:p>
    <w:p>
      <w:r>
        <w:rPr>
          <w:b/>
        </w:rPr>
        <w:t>E. 2.1</w:t>
      </w:r>
    </w:p>
    <w:p>
      <w:r>
        <w:t>Die Kognition des Bundesverwaltungsgerichts und die zulässigen Rügen richten sich im Asylbereich nach Art. 106 Abs. 1 AsylG.</w:t>
      </w:r>
    </w:p>
    <w:p>
      <w:r>
        <w:rPr>
          <w:b/>
        </w:rPr>
        <w:t>E. 2.2</w:t>
      </w:r>
    </w:p>
    <w:p>
      <w:r>
        <w:t>Der Wegweisungsvollzug wurde zugunsten einer vorläufigen Aufnahme aufgeschoben und bildet deshalb nicht Gegenstand des Beschwerdeverfahrens. Folglich ist auf den Eventualantrag in Bezug auf die Feststellung der Unzulässigkeit des Wegweisungsvollzugs mangels Rechtsschutzinteresses nicht einzutreten.</w:t>
      </w:r>
    </w:p>
    <w:p>
      <w:r>
        <w:rPr>
          <w:b/>
        </w:rPr>
        <w:t>E. 2.3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4</w:t>
      </w:r>
    </w:p>
    <w:p>
      <w:r>
        <w:t>Die Vorinstanz kommt in der angefochtenen Verfügung zum Schluss, dass das dargelegte Vorgehen der türkischen Behörden von lediglich drei erfolgten Kontaktaufnahmen beziehungsweise Übergriffen auf den Beschwerdeführer innert drei Jahren als unkonkretes Vorgehen betrachtet werden müsse, dem im Übrigen die notwendige Intensität abzusprechen sei. Aus den Akten liessen sich keine genügend intensiven und zielgerichteten Nachteile ableiten, die in Kombination mit dem Profil des Beschwerdeführers darauf schliessen lassen würden, dass er bei einer Rückkehr in die Türkei eine asylrechtlich relevante Verfolgung zu befürchten habe. Entsprechend sei seine Furcht, bei einer Rückkehr verhaftet oder umgebracht zu werden, objektiv unbegründet.</w:t>
      </w:r>
    </w:p>
    <w:p>
      <w:r>
        <w:rPr>
          <w:b/>
        </w:rPr>
        <w:t>E. 5.1</w:t>
      </w:r>
    </w:p>
    <w:p>
      <w:r>
        <w:t>Nach Prüfung der Akten durch das Gericht ist in Übereinstimmung mit der Vorinstanz festzustellen, dass die Asylvorbringen des Beschwerdeführers den Anforderungen an die Flüchtlingseigenschaft gemäss Art. 3 AsylG nicht standzuhalten vermögen, weshalb vorab auf die zutreffenden Erwägungen der Vorinstanz zu verweisen ist. Diese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Die Vorinstanz war vorliegend auch nicht gehalten Botschaftsabklärungen zu tätigen. Die hierzu oberflächlich getätigten Rügen erweisen sich als unbegründet.</w:t>
      </w:r>
    </w:p>
    <w:p>
      <w:r>
        <w:rPr>
          <w:b/>
        </w:rPr>
        <w:t>E. 5.2</w:t>
      </w:r>
    </w:p>
    <w:p>
      <w:r>
        <w:t>Es ist festzustellen, dass der Beschwerdeführer bereits im Sommer 2018 die Türkei legal und ohne Hürden für zehn Tage verlassen konnte, wofür er sich von den Behörden einen Reisepass ausstellen liess (SEM-Akten A15 F6 ff.). Im (...) konnte er die Türkei erneut unter Vorlage seines Reisepasses auf dem Luftweg verlassen (z. B. SEM-Akten A15 F70 und A12 Ziff. 5.01). Weiter hat er nicht vorgebracht, dass ein Straf- oder Gerichtsverfahren gegen ihn eingeleitet worden wäre; Entsprechendes ist den Akten auch nicht zu entnehmen. Stattdessen konnte er - trotz der seit (...) anhaltenden Probleme - über Jahre hinweg in der Türkei mit seiner Familie leben, an der Universität studieren und bis kurz vor seiner Ausreise arbeiten (z. B. SEM-Akten A15 F29 f.). Es kann den Angaben und den Beweismitteln auch nichts dahingehend entnommen werden, das auf eine Exponierung des Beschwerdeführers schliessen lassen würde. Jedenfalls stellt die Teilnahme an Demonstrationen (auch mit Plakaten) in der Türkei keine solche dar (vgl. Urteil des BVGer E-1584/2020 vom 25. Juni 2020 E. 6.2). Weitere politische Betätigungen - auch für die PKK (Partiya Karkerên Kurdistanê) - verneinte er im Übrigen explizit für sich und seine gesamte Familie (SEM-Akten A15 F40, F46 f., F49 und F73 f.). Zwar machte er geltend, die Behörden hätten auch nach seiner Ausreise weiterhin nach ihm gefragt, indessen machte er weder in der Anhörung noch in der Beschwerde diesbezüglich weitere Ausführungen, auch nicht dazu, welches Ausmass sie angenommen hätten. Vor diesem Hintergrund ist der Vorinstanz darin beizupflichten, dass das behördliche Vorgehen gegen den Beschwerdeführer als unkonkret zu betrachten ist. Zudem beschränkt es sich auf die einzelnen geschilderten Momente ohne weitere Konsequenzen. Sofern die Übergriffe überhaupt im dargelegten Umfang stattgefunden haben sollten, ist ein wirkliches Interesse der Behörden an der Person des Beschwerdeführers auszuschliessen, hätten diese doch genügend Möglichkeiten gehabt, ihn in all den Jahren zu verhaften, was jedoch trotz der geschilderten Behördenkontakte offensichtlich nie geschehen ist. In der angefochtenen Verfügung wird einlässlich begründet, weshalb davon auszugehen ist, dass die Behördenkontakte in Kombination mit dem Profil des Beschwerdeführers das Bestehen einer objektiv begründeten Furcht vor künftiger Verfolgung nicht zu rechtfertigen vermögen. Die Rechtsmitteleingabe stellt dem nichts Stichhaltiges entgegen, sondern erschöpft sich vielmehr in oberflächlichen Erklärungsversuchen, namentlich in der fehlerhaften Annahme, eine legale Ausreise begründe vorliegend die Flüchtlingseigenschaft und in Hinweisen auf einzelne Stellen im Anhörungsprotokoll, die den Nachweis einer konkreten Gefahr belegen sollen. Nach dem Gesagten ist jedoch vielmehr darauf zu schliessen, dass die Gewaltanwendung der Behörden am Beschwerdeführer - sofern sie überhaupt im dargelegten Umfang stattgefunden haben - auf die allgemeinen Nachteile in der Region F._______ zurückzuführen sind, unter die auch die Zerstörung des Hauses, der Tod des Onkels und der Cousine fällt. Die von der Vorinstanz angeordnete vorläufige Aufnahme trägt dieser allgemeinen Situation vor Ort bereits ausreichend Rechnung.</w:t>
      </w:r>
    </w:p>
    <w:p>
      <w:r>
        <w:rPr>
          <w:b/>
        </w:rPr>
        <w:t>E. 5.3</w:t>
      </w:r>
    </w:p>
    <w:p>
      <w:r>
        <w:t>Was das erst auf Beschwerdeebene geltend gemachte exilpolitische Engagement anbelangt, ist aufgrund der Ausführungen und Beweismittel nicht davon auszugehen, dass dieses über die massentypischen und niedrigprofilierten Erscheinungsformen exilpolitischer Proteste gegen das türkische Regime hinausgeht. Dem auf Beschwerdeebene ins Recht gelegten Beitrittsgesuch ist - ausser Name, Geburtsdatum, Zivilstand, Adresse und Telefonnummer in der Schweiz sowie der Zahlungsart - nichts zu entnehmen. Im Bestätigungsschreiben des (...) wird zwar erklärt, der Beschwerdeführer habe aktiv an allen Demonstrationen teilgenommen. Letztere wurden indessen weder in der Beschwerde noch in diesem Schreiben zeitlich näher bestimmt oder belegt. Es wird lediglich auf eine Internetseite verwiesen ([...]), auf der man den Beschwerdeführer rechts im Bild stehen sehen soll. Folgt man jedoch dieser Anleitung, trifft man insbesondere auf Videos zu Kundgebungen in Norddeutschland, an denen der Beschwerdeführer nicht beteiligt gewesen sein kann. Auch die zweite Fundstelle (Internetseite der [...]) lässt keinen ausreichenden Schluss auf den Beschwerdeführer zu. Jedenfalls kann auch nach Durchsicht der Internetseiten nicht davon ausgegangen werden, dass sich der Beschwerdeführer besonders exponiert oder gar eine herausragende Funktion innegehabt hätte. Auch wenn er an allen Demonstrationen teilgenommen haben sollte, lässt dies nicht auf ein exponiertes exilpolitisches Engagement schliessen. Es ist deshalb unwahrscheinlich, dass seitens des türkischen Regimes ein besonderes Interesse an seiner Person bestehen könnte, da es sich bei ihm nicht um eine Persönlichkeit handelt, die mit Blick auf Art und Umfang ihrer exilpolitischen Tätigkeiten als ausserordentlich engagierter und exponierter Regimegegner aufgefallen sein könnte. Schliesslich sind die in der Beschwerde gemachten Verweise auf Artikel und das ins Recht gelegte Interview nicht geeignet diese Schlussfolgerung umzustossen. Dies umso weniger, als der Beschwerdeführer - wie bereits festgestellt worden ist (E. 5.2) - für die Zeit vor seiner Ausreise kein entsprechendes politisches Profil vorgetragen hat.</w:t>
      </w:r>
    </w:p>
    <w:p>
      <w:r>
        <w:rPr>
          <w:b/>
        </w:rPr>
        <w:t>E. 5.4</w:t>
      </w:r>
    </w:p>
    <w:p>
      <w:r>
        <w:t>Nach dem Gesagten erübrigt es sich auf weitere Ausführungen in der Beschwerde einzugehen, da diese nicht geeignet sind, zu einer anderen rechtlichen Würdigung der Aktenlage zu führen. Es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 soweit darauf einzutreten ist.</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