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E-3550/2016 vom 13. Juni 2016</w:t>
      </w:r>
    </w:p>
    <w:p>
      <w:r>
        <w:t>Bundesverwaltungsgericht, 2016-06-13, DE</w:t>
      </w:r>
    </w:p>
    <w:p>
      <w:r>
        <w:rPr>
          <w:b/>
        </w:rPr>
        <w:t xml:space="preserve">Quelle: </w:t>
      </w:r>
      <w:r>
        <w:t>https://mcp.opencaselaw.ch/entscheid/bvger_E-3550_2016</w:t>
      </w:r>
    </w:p>
    <w:p>
      <w:r>
        <w:t>FR: TAF E-3550/2016 du 13 juin 2016</w:t>
      </w:r>
    </w:p>
    <w:p>
      <w:r>
        <w:t>IT: TAF E-3550/2016 del 13 giugno 2016</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seien nicht glaubhaft. Seine Schilderungen seien in zentralen Punkten krass widersprüchlich. Zudem vermöge er seine Ausführungen zur geltend gemachten Zwangsrekrutierung kaum zu konkretisieren. Seine Aussagen würden sich auf reine Handlungsabläufe beziehen. Es entstehe zu keinem Zeitpunkt der Eindruck, dass er eine derartige Situation persönlich erlebt habe.</w:t>
      </w:r>
    </w:p>
    <w:p>
      <w:r>
        <w:rPr>
          <w:b/>
        </w:rPr>
        <w:t>E. 4.2</w:t>
      </w:r>
    </w:p>
    <w:p>
      <w:r>
        <w:t>Die Schlussfolgerungen der Vorinstanz sind weder in tatsächlicher noch in rechtlicher Hinsicht zu beanstanden. In der angefochtenen Verfügung wird einlässlich begründet, weshalb ein Grossteil der Aussagen des Beschwerdeführers unglaubhaft ausgefallen ist. Er setzt sich mit der vor­instanzlichen Beweiswürdigung nicht ansatzweise auseinander. Mit dem blossen Wiederholen des aktenkundigen Sachverhalts zeigt er nicht auf, inwiefern die angefochtene Verfügung Bundesrecht verletzen oder den Sachverhalt rechtsfehlerhaft feststellen soll. Solches lässt sich auch nicht annehmen. So trifft zu, dass der Beschwerdeführer in zentralen Punkten widersprüchliche Angaben macht. In der BzP bringt er vor, im Sommer 2015 sei er von Unbekannten aufgefordert worden, in Syrien zu kämpfen (SEM-Akten, A4/11 S. 7). In der Anhörung hingegen gibt er zu Protokoll, er sei am 14. Dezember 2015 von drei Personen aufgefordert worden, mit ihnen nach Syrien zu gehen (SEM-Akten, A25/12 F28 und F31). Gemäss seinen Aussagen in der BzP war er in diesem Zeitpunkt jedoch bereits auf der Flucht (SEM-Akten, A4/11 S. 6). Als er in der Anhörung auf diesen Widerspruch angesprochen wird, kann er dies nicht erklären. Stattdessen führt er aus, er habe diese Personen davor bereits in einem Restaurant gesehen (SEM-Akten, A25/12 F69 ff.). Der Beschwerdeführer schildert seinen einzigen Fluchtgrund in den beiden Befragungen unvereinbar. So wäre von ihm zu erwarten gewesen, dass er noch weiss, ob er nach dem Vorfall bereits am nächsten Tag oder erst ein paar Monate später ausgereist ist. Ausserdem schildert er seine Vorbringen äusserst oberflächlich und weicht den Fragen immer wieder aus. Realkennzeichen sind in seinen Ausführungen keine ersichtlich. Hierzu ist auf die zutreffenden Ausführungen in der angefochtenen Verfügung zu verweisen.</w:t>
      </w:r>
    </w:p>
    <w:p>
      <w:r>
        <w:rPr>
          <w:b/>
        </w:rPr>
        <w:t>E. 4.3</w:t>
      </w:r>
    </w:p>
    <w:p>
      <w:r>
        <w:t>Zusammenfassend ist festzuhalten, dass es dem Beschwerdeführer nicht gelungen ist, eine im Zeitpunkt seiner Ausreise aus dem Kosovo bestehende oder drohende, asylrechtlich relevante Gefährdung nachzuweisen oder glaubhaft zu machen. Die Vorinstanz hat sein Asylgesuch zu Recht abgewiesen.</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Wegweisung demnach zu Recht verfügt.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den Kosovo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Kosovo herrscht kein Bürgerkrieg und keine Situation allgemeiner Gewalt. Auch besteht kein Grund zur Annahme, der Beschwerdeführer gerate im Falle einer Rückkehr aus individuellen Gründen wirtschaftlicher, sozialer oder gesundheitlicher Natur in eine existenzbedrohende Situation. Der Vollzug erweist sich als zumutbar.</w:t>
      </w:r>
    </w:p>
    <w:p>
      <w:r>
        <w:rPr>
          <w:b/>
        </w:rPr>
        <w:t>E. 6.4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6.5</w:t>
      </w:r>
    </w:p>
    <w:p>
      <w:r>
        <w:t>Zusammenfassend hat die Vorinstanz den Wegweisungsvollzug zu Recht als zulässig, zumutbar und möglich erachtet. Die Anordnung einer vorläufigen Aufnahme fällt damit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