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E-3528/2024 vom 24. Mai 2024</w:t>
      </w:r>
    </w:p>
    <w:p>
      <w:r>
        <w:t>Bundesverwaltungsgericht, 2024-05-24, DE</w:t>
      </w:r>
    </w:p>
    <w:p>
      <w:r>
        <w:rPr>
          <w:b/>
        </w:rPr>
        <w:t xml:space="preserve">Quelle: </w:t>
      </w:r>
      <w:r>
        <w:t>https://mcp.opencaselaw.ch/entscheid/bvger_E-3528_2024_d20240524</w:t>
      </w:r>
    </w:p>
    <w:p>
      <w:r>
        <w:t>FR: TAF E-3528/2024 du 24 mai 2024</w:t>
      </w:r>
    </w:p>
    <w:p>
      <w:r>
        <w:t>IT: TAF E-3528/2024 del 24 maggio 2024</w:t>
      </w:r>
    </w:p>
    <w:p>
      <w:pPr>
        <w:pStyle w:val="Heading2"/>
      </w:pPr>
      <w:r>
        <w:t>Regeste</w:t>
      </w:r>
    </w:p>
    <w:p>
      <w:r>
        <w:t>Asyl und Wegweisung | Asyl und Wegweisung; Verfügung des SEM vom 24.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E-3528/2024 Seite 5 und Art. 108 Abs. 1 AsylG; Art. 48 Abs. 1 sowie Art. 52 Abs. 1 VwVG). Auf die Beschwerde ist einzutreten, nachdem der Kostenvorschuss innert an- gesetzter Frist bezahlt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Eine Reflexverfolgung liegt vor, wenn Angehörige von verfolgten Per- sonen Repressalien ausgesetzt sind, sei es um Informationen über die ver- folgte Person zu erhalten, um die Familie als Ganzes für die Aktivitäten des Verfolgten zu bestrafen, oder um die verfolgte Person zum Aufgeben ihrer Aktivitäten zu zwingen (vgl. BVGE 2010/57 E. 4.1.3). Die</w:t>
      </w:r>
    </w:p>
    <w:p>
      <w:r>
        <w:t>E-3528/2024 Seite 6 Wahrscheinlichkeit, Opfer eine Reflexverfolgung zu werden, ist vor allem dann gegeben, wenn nach einem flüchtigen Familienmitglied gefahndet wird und die Behörde Anlass zur Vermutung hat, dass jemand mit der ge- suchten Person in engem Kontakt steht.</w:t>
      </w:r>
    </w:p>
    <w:p>
      <w:r>
        <w:rPr>
          <w:b/>
        </w:rPr>
        <w:t>E. 5.1</w:t>
      </w:r>
    </w:p>
    <w:p>
      <w:r>
        <w:t>Das SEM kam zum Schluss, dass die Vorbringen den Anforderungen an die Flüchtlingseigenschaft gemäss Art. 3 AsylG nicht standhielten.</w:t>
      </w:r>
    </w:p>
    <w:p>
      <w:r>
        <w:rPr>
          <w:b/>
        </w:rPr>
        <w:t>E. 5.1.1</w:t>
      </w:r>
    </w:p>
    <w:p>
      <w:r>
        <w:t>Vorab hielt das SEM fest, dass der zeitliche Kausalzusammenhang zwischen den von den Beschwerdeführenden vorgebrachten Ereignissen in den 80er respektive den 90er-Jahren und ihrer Ausreise fehle, zumal die Ereignisse Jahrzehnte zurücklägen. Die weiteren Vorkommnisse (Behelli- gungen, Benachteiligungen, Schikanen sowie Einschränkungen in der Ausübung ihrer kulturellen Bräuche und ihrer Religion) stellten keine akute Gefährdung dar und seien nicht als ausreichend intensiv einzustufen, als dass sie ein menschenwürdiges Leben in der Heimat verunmöglichten. Ge- mäss eigenen Angaben seien sie gesetzestreu gewesen und von den tür- kischen Behörden nie in Gewahrsam genommen oder verhaftet worden. Es sei auch nie ein Strafverfahren gegen sie eröffnet worden. Ihre politi- schen Aktivitäten seien offenbar niederschwellig und nicht derart, dass sie ein ernsthaftes Interesse des türkischen Staates ausgelöst hätten. Alsdann sei in Bezug auf die vorgebrachten Nachteile anzumerken, dass Angehörige der kurdischen Bevölkerung in der Türkei Schikanen und Be- nachteiligungen verschiedenster Art ausgesetzt sein können. Dabei handle es sich indes nicht um ernsthafte Nachteile im Sinne des Asylgesetzes, die einen Verbleib im Heimatland verunmöglichten oder unzumutbar erschwer- ten. Aus diesem Grund führe die allgemeine Situation, in der sich die kur- dische Bevölkerung befinde, gemäss gefestigter Praxis für sich allein nicht zur Anerkennung der Flüchtlingseigenschaft. Diese Einschätzung gelte trotz der sich nach dem Putschversuch im Juli 2016 allgemein verschlech- ternden Menschenrechtslage in der Türkei, von der auch die Kurden, ins- besondere im Südosten der Türkei, betroffen seien. Auch die im vorliegen- den Fall geltend gemachten Schikanen reichten in ihrer Intensität nicht über die Nachteile hinaus, welche weite Teile der kurdischen Bevölkerung in der Türkei in ähnlicher Weise treffen könnten.</w:t>
      </w:r>
    </w:p>
    <w:p>
      <w:r>
        <w:rPr>
          <w:b/>
        </w:rPr>
        <w:t>E. 5.1.2</w:t>
      </w:r>
    </w:p>
    <w:p>
      <w:r>
        <w:t>In Bezug auf den Beschwerdeführer führte das SEM aus, seine vor- gebrachte Teilnahme an Kundgebungen und seine «Social Media»-Bei- träge in der Schweiz vermöchten keine begründete Furcht vor künftigen</w:t>
      </w:r>
    </w:p>
    <w:p>
      <w:r>
        <w:t>E-3528/2024 Seite 7 Verfolgungsmassnahmen zu begründen. Zum einen habe er als einfacher Teilnehmer an den Kundgebungen teilgenommen und keine besonderen Aufgaben übernommen. Zum anderen seien seine «Social Media»-Bei- träge unbelegt. Selbst wenn er sich mit heiklen Beiträgen exponiert hätte, seien keine Hinweise ersichtlich, dass der türkische Staat auf seine Posts aufmerksam geworden wäre oder ihn gar identifiziert und als staatsgefähr- dende Person eingestuft hätte. Demnach erweise sich seine Befürchtung, ins Visier der türkischen Behörden geraten zu sein, als objektiv zu wenig begründet.</w:t>
      </w:r>
    </w:p>
    <w:p>
      <w:r>
        <w:rPr>
          <w:b/>
        </w:rPr>
        <w:t>E. 5.1.3</w:t>
      </w:r>
    </w:p>
    <w:p>
      <w:r>
        <w:t>Zur Stellungnahme zum Verfügungsentwurf hielt das SEM fest, es sei nicht ersichtlich, aus welchen Gründen sie befürchteten, bei einer Rück- kehr in Lebensgefahr zu geraten. Bei den befürchteten Schikanen handle es sich nicht um ernsthafte Nachteile im Sinne des Asylgesetzes, die ein Leben im Heimatland verunmöglichten oder unzumutbar erscheinen lies- sen.</w:t>
      </w:r>
    </w:p>
    <w:p>
      <w:r>
        <w:rPr>
          <w:b/>
        </w:rPr>
        <w:t>E. 5.2</w:t>
      </w:r>
    </w:p>
    <w:p>
      <w:r>
        <w:t>In ihrer Beschwerdeeingabe wiederholten die Beschwerdeführenden zunächst den an den Anhörungen vorgetragenen Sachverhalt. Sie entgeg- nen der vorinstanzlichen Verfügung, dass der Sachverhalt lückenhaft auf- geführt sei. So sei ihre Situation als kurdische Aleviten in der Türkei ausser Acht gelassen worden. Aufgrund ihrer ethnischen und religiösen Zugehö- rigkeit hätten sie Behelligungen und Schikanen erlebt und seien in ihrer Religionsausübung beeinträchtigt gewesen. Entgegen der Ansicht der Vor- instanz sei seine politische Tätigkeit nicht als niederschwellig einzustufen. Aus einem Bericht von «Proasyl» gehe hervor, dass Angehörige der Orga- nisation (…) polizeilich behelligt würden. Gleiches sei ihm widerfahren, was auch den Verlust ihrer beiden damaligen Arbeitsplätze zur Folge gehabt hätte. Ausserdem seien in Vergangenheit Mitarbeiter der regierungskriti- schen Zeitung (…) festgenommen und inhaftiert worden. Da ihr Bruder in den 90er-Jahren für die besagte Zeitung gearbeitet habe und deswegen gefoltert und inhaftiert worden sei, könne eine Reflexverfolgung nicht aus- geschlossen werden. Als die Polizisten die besagte Zeitung in seinem Ge- schäft gesehen hätten und er ihnen keinen Grund für deren Besitz geliefert habe, hätten sie den Betrieb durchsucht und mit einer Schliessung gedroht. Ferner habe ihn die Polizei als Spitzel bei der Organisation (…) einsetzen wollen, was er verweigert habe. Alsdann sei er über seine finanzielle Un- terstützung der (…)-Bewegung befragt worden und es seien ihm Bilder mit den Vorstandsmitgliedern vorgehalten worden. Schliesslich könnten sie auch wegen seinem Schwager in den Fokus der Behörden geraten sein.</w:t>
      </w:r>
    </w:p>
    <w:p>
      <w:r>
        <w:t>E-3528/2024 Seite 8 Die Vorinstanz lasse ausserdem ausser Acht, dass die Familie der Be- schwerdeführenden rund zwei Monate nach ihrer Ausreise polizeilich auf- gesucht worden und über ihren Aufenthaltsort befragt worden sei.</w:t>
      </w:r>
    </w:p>
    <w:p>
      <w:r>
        <w:rPr>
          <w:b/>
        </w:rPr>
        <w:t>E. 6.1</w:t>
      </w:r>
    </w:p>
    <w:p>
      <w:r>
        <w:t>Das Bundesverwaltungsgericht gelangt zum Schluss, dass die ange- fochtene Verfügung zu stützen ist. Das SEM ist darin mit ausführlicher und überzeugender Begründung zum Schluss gelangt, dass die Vorbringen der Beschwerdeführenden die Voraussetzungen von Art. 3 AsylG nicht erfüllen. Zur Vermeidung von Wiederholungen kann daher - mit den nachfolgenden notwendigen Ergänzungen - vollständig auf die zutreffenden Erwägungen der Vorinstanz gemäss obiger Zusammenfassung (vgl. E. 5.1.1 - 5.1.3) ver- wiesen werden.</w:t>
      </w:r>
    </w:p>
    <w:p>
      <w:r>
        <w:rPr>
          <w:b/>
        </w:rPr>
        <w:t>E. 6.2</w:t>
      </w:r>
    </w:p>
    <w:p>
      <w:r>
        <w:t>Soweit die Beschwerdeführenden geltend machen, als Kurden und Ale- viten seien sie wiederholten Benachteiligungen und Übergriffen im Alltag ausgesetzt gewesen, ist festzuhalten, dass gemäss konstanter Praxis Nachteile, denen Kurden und Aleviten in der Türkei generell ausgesetzt sein können, nicht die für eine Anerkennung der Flüchtlingseigenschaft er- forderliche Intensität aufweisen; im Übrigen stellt das Bundesverwaltungs- gericht praxisgemäss hohe Anforderungen an die Bejahung einer Kollek- tivverfolgung (vgl. etwa Urteile BVGer D-4435/2022 vom 24. Oktober 2022 E. 6.5, D-707/2022 vom 19. Oktober 2022 E. 7.6 oder E-4621/2020 vom 14. April 2022 E. 5.4, je m.w.H.), die im Fall der Kurden und Aleviten - auch unter Berücksichtigung der politischen Entwicklungen der Türkei - nicht er- füllt sind (vgl. etwa Urteil BVGer E-3917/2021 vom 11. Januar 2022 E. 6.3).</w:t>
      </w:r>
    </w:p>
    <w:p>
      <w:r>
        <w:rPr>
          <w:b/>
        </w:rPr>
        <w:t>E. 6.3</w:t>
      </w:r>
    </w:p>
    <w:p>
      <w:r>
        <w:t>Die vom Beschwerdeführer geltend gemachten Tätigkeiten für die (…) in nicht exponierter Weise vermögen keine begründete Furcht vor einer künftigen flüchtlingsrechtlich relevanten Verfolgung zu begründen. Sein po- litisches Profil ist als gering einzustufen und die eingereichten Beweismittel in Form von Auszügen von «Social Media»-Beiträgen – die eine entspre- chende Aktivität während seines Aufenthalts in der Schweiz und der Türkei belegen – bestätigen die Einschätzung der bloss niederschwelligen politi- schen Tätigkeiten. Von diesen Beweismitteln können auch keine Hinweise auf allfällige (Nach-)fluchtgründe abgeleitet werden. Gleiches gilt für die Beschwerdeführerin, bei der sich das politische Engagement in der Schweiz auf niederschwellige Tätigkeiten (Teilnahme an Aktivitäten von […] und am Gedenktag von H._______) beschränkt (vgl. act. 34 F79-F81).</w:t>
      </w:r>
    </w:p>
    <w:p>
      <w:r>
        <w:t>E-3528/2024 Seite 9</w:t>
      </w:r>
    </w:p>
    <w:p>
      <w:r>
        <w:rPr>
          <w:b/>
        </w:rPr>
        <w:t>E. 6.4</w:t>
      </w:r>
    </w:p>
    <w:p>
      <w:r>
        <w:t>Die erlebten Schikanen begründen offensichtlich keine flüchtlingsrecht- lich relevante Verfolgung. Diesbezüglich ist hervorzuheben, dass die Be- schwerdeführenden anlässlich der Anhörung die Frage verneinten, ob ge- gen sie ein Strafverfahren eröffnet worden sei (vgl. act. 33 F43; act. 34 F62). Beim dem in der Beschwerde nun eingereichten Schreiben eines tür- kischen Anwalts handelt es sich um ein reines Gefälligkeitsschreiben ohne Beweiskraft. Das entsprechende Schreiben gibt lediglich die Vorbringen der Beschwerdeführenden wieder und stellt überdies gar eine aktenwidrige Behauptung auf, wonach die Beschwerdeführerin – entgegen ihren klaren Aussagen an der Anhörung – verhaftet und inhaftiert worden sei (vgl. act. 34 F57, F62; vgl. Beschwerdebeilage 4). An der zutreffenden Ein- schätzung der vorinstanzlichen Entscheidung vermag dieses Schreiben of- fenkundig nichts zu ändern.</w:t>
      </w:r>
    </w:p>
    <w:p>
      <w:r>
        <w:rPr>
          <w:b/>
        </w:rPr>
        <w:t>E. 6.5</w:t>
      </w:r>
    </w:p>
    <w:p>
      <w:r>
        <w:t>Letztlich können den Akten auch keine Anhaltspunkte für eine allfällige Reflexverfolgung wegen des Bruders der Beschwerdeführerin entnommen werden. Gemäss ihren Ausführungen liegt seine angebliche Ingewahrsam- nahme im Jahre (…) bereits weit – rund (…) Jahre – zurück. Hierbei gilt es zu betonen, dass ihr Bruder scheinbar wieder unbehelligt in E._______ lebt (vgl. act. 34 F48; act. 34 F32). Wenn der Bruder der Beschwerdeführerin ohne behördliche Behelligungen frei in der Türkei leben kann, besteht so- mit augenscheinlich kein Grund zu der Annahme, dass die Beschwerde- führenden nach ihrer Rückkehr in die Türkei seinetwegen ernsthaften Nachteilen ausgesetzt wären. Schliesslich gibt es auch keine Hinweise da- rauf, dass die Beschwerdeführenden aufgrund des Schwagers des Be- schwerdeführers, der sich geweigert habe, der AKP anzuschliessen, mit ernsthaften sowie aktuellen und damit asylrelevanten Nachteilen konfron- tiert gewesen wären oder solche künftig zu befürchten hätten. Demzufolge ist keine Reflexverfolgung erkennbar.</w:t>
      </w:r>
    </w:p>
    <w:p>
      <w:r>
        <w:rPr>
          <w:b/>
        </w:rPr>
        <w:t>E. 6.6</w:t>
      </w:r>
    </w:p>
    <w:p>
      <w:r>
        <w:t>Aus diesen Erwägungen ergibt sich, dass das SEM zu Recht die Flüchtlingseigenschaft der Beschwerdeführenden verneint und deren Asyl- 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E-3528/2024 Seite 10</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w:t>
      </w:r>
    </w:p>
    <w:p>
      <w:r>
        <w:rPr>
          <w:b/>
        </w:rPr>
        <w:t>E. 8.2.2</w:t>
      </w:r>
    </w:p>
    <w:p>
      <w:r>
        <w:t>Da es den Beschwerdeführenden nicht gelungen ist, eine asylrecht- lich erhebliche Gefährdung nachzuweisen oder glaubhaft zu machen, kann der in Art. 5 AsylG verankerte Grundsatz der Nichtrückschiebung im vorlie- genden Verfahren keine Anwendung finden. Eine Rückkehr der Beschwer- deführenden in die Türkei ist demnach unter diesem Aspekt rechtmässig.</w:t>
      </w:r>
    </w:p>
    <w:p>
      <w:r>
        <w:rPr>
          <w:b/>
        </w:rPr>
        <w:t>E. 8.2.3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w:t>
      </w:r>
    </w:p>
    <w:p>
      <w:r>
        <w:t>E-3528/2024 Seite 11 würde (vgl. Urteil des EGMR Saadi gegen Italien vom 28. Februar 2008, Grosse Kammer 37201/06, §§ 124–127 m.w.H.). Auch die allgemeine Menschenrechtssituation im Heimatstaat lässt den Wegweisungsvollzug zum heutigen Zeitpunkt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der Türkei herrscht weder Krieg oder Bürgerkrieg noch eine lan- desweite Situation allgemeiner Gewalt, aufgrund welcher eine Rückkehr generell unzumutbar wäre. Auch unter Berücksichtigung des Wiederauf- flammens des türkisch kurdischen Konfliktes sowie der bewaffneten Aus- einandersetzungen zwischen der PKK (Partiya Karkeren Kurdistan) und staatlichen Sicherheitskräften seit Juli 2015 in verschiedenen Provinzen im Südosten des Landes (im Einzelnen: Batman, Diyarbakir, Mardin, Siirt, Urfa und Van, anders als die Provinzen Hakkari und Sirnak, zu den Letzteren vgl. BVGE 2013/2 E. 9.6) sowie der Entwicklungen nach dem Putschver- such von Teilen des türkischen Militärs im Juli 2016 ist gemäss konstanter Praxis des Bundesverwaltungsgerichts nicht von einer Situation allgemei- ner Gewalt oder bürgerkriegsähnlichen Verhältnissen in der Türkei auszu- gehen (vgl. Urteil des BVGer E-6224/2019 vom 19. April 2023 m.w.H.). Es ist aufgrund des Gesagten nicht von einer generellen Unzumutbarkeit des Vollzugs von Wegweisungen auszugehen (vgl. BVGE 2013/2 E. 9.6; Refe- renzurteil E-1948/2018 vom 12. Juni 2018 E. 7.3.1).</w:t>
      </w:r>
    </w:p>
    <w:p>
      <w:r>
        <w:rPr>
          <w:b/>
        </w:rPr>
        <w:t>E. 8.3.2</w:t>
      </w:r>
    </w:p>
    <w:p>
      <w:r>
        <w:t>Ferner liegen auch in individueller Hinsicht keine Wegeweisungsvoll- zugshindernisse vor, wobei diesbezüglich auf die zutreffenden Erwägun- gen des SEM verwiesen werden kann, denen sich das Gericht vollumfäng- lich anschliesst (vgl. a.a.O. E. III Ziff. 2). Die Beschwerdeführenden vermö- gen diesen Argumenten mit ihrem pauschalen Einwand auf die Schikanen und Diskriminierungen im Heimatland nichts entgegenzusetzen. Ergänzend ist festzustellen, dass sich der Vollzug auch unter dem Blick- winkel des Kindeswohls (vgl. Art. 3 Abs. 1 des Übereinkommens vom 20. November 1989 über die Rechte des Kindes [KRK, SR 0.107]) als zumut- bar erweist, zumal die Kinder erst seit kurzem in der Schweiz sind, ihre</w:t>
      </w:r>
    </w:p>
    <w:p>
      <w:r>
        <w:t>E-3528/2024 Seite 12 Bezugspersonen in erster Linie ihre Eltern sind und sie gemeinsam mit die- sen zurückkehren.</w:t>
      </w:r>
    </w:p>
    <w:p>
      <w:r>
        <w:rPr>
          <w:b/>
        </w:rPr>
        <w:t>E. 8.4</w:t>
      </w:r>
    </w:p>
    <w:p>
      <w:r>
        <w:t>Es ist schliesslich ohne Weiteres von der Möglichkeit des Wegwei- sungsvollzugs auszugehen (Art. 83 Abs. 2 AIG).</w:t>
      </w:r>
    </w:p>
    <w:p>
      <w:r>
        <w:rPr>
          <w:b/>
        </w:rPr>
        <w:t>E. 8.5</w:t>
      </w:r>
    </w:p>
    <w:p>
      <w:r>
        <w:t>Zusammenfassend hat die Vorinstanz den Wegweisungsvollzug zu Recht als zulässig, zumutbar und möglich bezeichnet. Das Eventualbegeh- ren ist somit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Nach dem Gesagten besteht kein Anlass, die Sache an die Vorinstanz zurückzuwei- sen; das Subeventualbegehren ist ebenfalls abzuweisen.</w:t>
      </w:r>
    </w:p>
    <w:p>
      <w:r>
        <w:rPr>
          <w:b/>
        </w:rPr>
        <w:t>E. 10</w:t>
      </w:r>
    </w:p>
    <w:p>
      <w:r>
        <w:t>Bei diesem Ausgang des Verfahrens sind die Kosten den Beschwerdefüh- renden aufzuerlegen (Art. 63 Abs. 1 VwVG) und auf insgesamt Fr. 750.- festzusetzen (Art. 1-3 des Reglements vom 21. Februar 2008 über die Kos- ten und Entschädigungen vor dem Bundesverwaltungsgericht [VGKE, SR 173.320.2]). Der bereits geleistete Kostenvorschuss in gleicher Höhe ist zur Bezahlung der Verfahrenskosten zu verwenden.</w:t>
      </w:r>
    </w:p>
    <w:p>
      <w:r>
        <w:t>(Dispositiv nächste Seite)</w:t>
      </w:r>
    </w:p>
    <w:p>
      <w:r>
        <w:t>E-3528/2024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