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E-3524/2016 vom 4. Juli 2016</w:t>
      </w:r>
    </w:p>
    <w:p>
      <w:r>
        <w:t>Bundesverwaltungsgericht, 2016-07-04, DE</w:t>
      </w:r>
    </w:p>
    <w:p>
      <w:r>
        <w:rPr>
          <w:b/>
        </w:rPr>
        <w:t xml:space="preserve">Quelle: </w:t>
      </w:r>
      <w:r>
        <w:t>https://mcp.opencaselaw.ch/entscheid/bvger_E-3524_2016</w:t>
      </w:r>
    </w:p>
    <w:p>
      <w:r>
        <w:t>FR: TAF E-3524/2016 du 4 juillet 2016</w:t>
      </w:r>
    </w:p>
    <w:p>
      <w:r>
        <w:t>IT: TAF E-3524/2016 del 4 luglio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ist hier zu verweisen (BVGE 2010/57 E. 2.2 und 2.3).</w:t>
      </w:r>
    </w:p>
    <w:p>
      <w:r>
        <w:rPr>
          <w:b/>
        </w:rPr>
        <w:t>E. 4</w:t>
      </w:r>
    </w:p>
    <w:p>
      <w:r>
        <w:t>Die Vorinstanz hat die fehlende Asylrelevanz nicht verkannt und auf den vorliegenden Fall korrekt angewendet. Ihre Schlussfolgerungen sind weder in tatsächlicher noch in rechtlicher Hinsicht zu beanstanden. In der angefochtenen Verfügung wird einlässlich begründet, weshalb die Vorbringen nicht von Asylrelevanz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Die Tatsache, dass der Beschwerdeführer erst anlässlich seiner Festnahme ein erneutes Asylgesuch gestellt hat, obwohl er sich bereits mehrere Monate in der Schweiz aufgehalten hatte, spricht bereits gegen die Glaub- und Ernsthaftigkeit der Vorbringen (Institutsmissbrauch). Sie sind ohne Asylrelevanz. So ist der Beschwerdeführer 46 Jahre alt, womit er allein aufgrund seines Alters in der Türkei nicht mehr militärdienstpflichtig ist. Seinen diesbezüglichen Befürchtungen - er müsse gegen seine eigenen Leute kämpfen - ist somit der Boden entzogen. Personen, die wegen Wehrdienstverweigerung ernsthaften Nachteilen ausgesetzt sind oder begründete Furcht haben, solchen Nachteilen ausgesetzt zu werden, erfüllen die Flüchtlingseigenschaft nicht (Art. 3 Abs. 3 AsylG). Abgesehen davon kann der Umstand, dass der Beschwerdeführer sich längere Zeit im Ausland aufhält, ohne Dienst geleistet zu haben, nicht mit Verweigerung des Militärdienstes gleichgesetzt werden (Urteil des BVGer E-6922/2013 vom 10. November 2014 E. 8.3). Was die Zugehörigkeit zur kurdischen Ethnie anbelangt, so ist diese für sich alleine und in Ermangelung einer Kollektivverfolgung nicht geeignet, die Flüchtlingseigenschaft zu begründen (statt vieler Urteil des BVGer E-992/2014 vom 9. Mai 2016 E. 4). Die am Rande getätigten Ausführungen zur Partiya Karkerên Kurdistanê (PKK) fallen sowohl in der Anhörung als auch in der Beschwerde zu oberflächlich aus und lassen höchstens darauf schliessen, dass er kein Mitglied, sondern nur Anhänger der PKK gewesen sein kann und diese lediglich "befürwortet" (SEM-Akten, B11, S. 6, F50 f. und Beschwerde S. 3), was keine Flüchtlingseigenschaft zu begründen vermag. Den oberflächlichen Erklärungsversuchen auf Beschwerdeebene ist nicht zu folgen. Aus den Verweisen auf die Rechtsprechung - insbesondere auf die Dienstverweigerung von Syrern - kann der aus der Türkei stammende Beschwerdeführer nichts zu seinen Gunsten ableiten. Um Wiederholungen zu vermeiden, ist auf die zutreffenden Ausführungen der Vorinstanz zu verweisen, die zu Recht das Asylgesuch abgelehnt hat.</w:t>
      </w:r>
    </w:p>
    <w:p>
      <w:r>
        <w:rPr>
          <w:b/>
        </w:rPr>
        <w:t>E. 5</w:t>
      </w:r>
    </w:p>
    <w:p>
      <w:r>
        <w:t>Gemäss Art. 44 AsylG verfügt das SEM in der Regel die Wegweisung aus der Schweiz, wenn es das Asylgesuch ablehnt oder darauf nicht eintritt. Der Beschwerdeführer verfügte zum Zeitpunkt des Erlasses der angefochtenen Verfügung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der Wegweisung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aufgrund der Beschwerde ergeben sich konkrete Hinweise dafür, dass der Beschwerdeführer für den Fall einer Ausschaffung in die Türkei dort mit beachtlicher Wahrscheinlichkeit einer nach Art. 3 EMRK oder Art. 1 FoK verbotenen Strafe oder Behandlung ausgesetzt wäre. Ferner steht auch Art. 8 EMRK einer Zulässigkeit des Wegweisungsvollzugs nicht entgegen, zumal die angebliche Tochter des Beschwerdeführers volljährig ist. Der Vollzug ist zulässig.</w:t>
      </w:r>
    </w:p>
    <w:p>
      <w:r>
        <w:rPr>
          <w:b/>
        </w:rPr>
        <w:t>E. 6.3</w:t>
      </w:r>
    </w:p>
    <w:p>
      <w:r>
        <w:t>Nach Art. 83 Abs. 4 AuG kann der Vollzug der Wegweisung unzumutbar sein, wenn der Ausländer oder die Ausländerin im Heimat- oder Herkunftsstaat auf Grund von Situationen wie Krieg, Bürgerkrieg, allgemeiner Gewalt und medizinischer Notlage konkret gefährdet ist. Die Lage für Kurden bleibt zwar in der Türkei angespannt, jedoch ist nicht von einer Situation allgemeiner Gewalt auszugehen, die einen Wegweisungsvollzug von Asylsuchenden kurdischer Ethnie generell als unzumutbar erscheinen lassen würde (vgl. Urteile des BVGer D-1041/2014 vom 7. Mai 2014 E. 7.4 und D-1455/2013 vom 23. Januar 2014 E. 6.2.1). Gemäss Einschätzung des Bundesverwaltungsgerichts herrscht ferner in der Türkei keine landesweite Situation allgemeiner Gewalt (vgl. BVGE 2013/2). Der Beschwerdeführer stammt auch nicht aus einer Provinz, in der allgemeine Gewalt angenommen wird (BVGE 2013/2 oder Wegweisung nach C._______: Urteil des BVGer [...]). Somit sprechen weder die herrschende politische Lage noch andere allgemeine Gründe gegen die Zumutbarkeit einer Rückführung in seinen Heimatstaat. Auch aufgrund seiner persönlichen Situation ist es dem Beschwerdeführer durchaus zumutbar, in seinen Heimatstaat zurückzukehren. So ist er 2015 für einige Wochen mit finanzieller Unterstützung seiner Brüder in seine Heimatregion zurückgereist (z. B. SEM-Akten, B11, S. 3, F15 ff.). Sodann lebt beispielsweise seine 90-jährige Grossmutter dort und kann in diesem Alter kaum auf sich selbst gestellt sein. Das lässt erwarten, dass der Beschwerdeführer auf die Unterstützung und Hilfe von Familienmitgliedern in der Türkei zurückgreifen kann (SEM-Akten B11, S. 2). Im Übrigen benötigt der Beschwerdeführer kein tragfähiges Beziehungsnetzt, zumal es sich um einen gesunden und alleinstehenden Mann im Alter von 47 Jahren mit Berufserfahrung handelt, der auch selbstständig in der Ferne leben konnte (SEM-Akten, B11, S. 7). Sodann kann er - sofern überhaupt notwendig - auf die finanzielle Unterstützung seiner in Europa lebenden Verwandten zählen, da auch seine Rückreise in die Türkei bereits von seinen Brüdern bezahlt wurde (SEM-Akten, B11, S. 3, F17). Hinzu kommt, dass das öffentliche Interesse an einer Wegweisung des Beschwerdeführers demjenigen des privaten Interesses am Verbleib in der Schweiz überwiegt (Nichteinhalten des Einreisverbots, Missbrauch des Instituts des Asyls, illegaler Aufenthalt, wiederholte Verurteilungen infolge Verstössen gegen die öffentliche Ordnung und Sicherheit usw.). Auch in Bezug auf die Wegweisung kann der Beschwerdeführer aus seinen oberflächlichen Beschwerdeausführungen nichts zu seinen Gunsten ableiten. Der Vollzug ist zumutbar.</w:t>
      </w:r>
    </w:p>
    <w:p>
      <w:r>
        <w:rPr>
          <w:b/>
        </w:rPr>
        <w:t>E. 6.4</w:t>
      </w:r>
    </w:p>
    <w:p>
      <w:r>
        <w:t>Nach Art. 83 Abs. 2 AuG ist der Vollzug der Wegweisung als möglich zu bezeichnen, weil es dem Beschwerdeführer obliegt, sich bei der zuständigen Vertretung die für eine Rückkehr notwendigen Reisedokumente zu beschaffen (Art. 8 Abs. 4 AsylG; BVGE 2008/34 E. 12).</w:t>
      </w:r>
    </w:p>
    <w:p>
      <w:r>
        <w:rPr>
          <w:b/>
        </w:rPr>
        <w:t>E. 6.5</w:t>
      </w:r>
    </w:p>
    <w:p>
      <w:r>
        <w:t>Die Vorinstanz hat demnach Wegweisungsvollzugshindernisse zu Recht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