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E-3521/2019 vom 16. Juli 2019</w:t>
      </w:r>
    </w:p>
    <w:p>
      <w:r>
        <w:t>Bundesverwaltungsgericht, 2019-07-16, DE</w:t>
      </w:r>
    </w:p>
    <w:p>
      <w:r>
        <w:rPr>
          <w:b/>
        </w:rPr>
        <w:t xml:space="preserve">Quelle: </w:t>
      </w:r>
      <w:r>
        <w:t>https://mcp.opencaselaw.ch/entscheid/bvger_E-3521_2019</w:t>
      </w:r>
    </w:p>
    <w:p>
      <w:r>
        <w:t>FR: TAF E-3521/2019 du 16 juillet 2019</w:t>
      </w:r>
    </w:p>
    <w:p>
      <w:r>
        <w:t>IT: TAF E-3521/2019 del 16 luglio 2019</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Schlussfolgerungen der Vorinstanz sind weder in tatsächlicher noch in rechtlicher Hinsicht zu beanstanden. Nach Prüfung der Akten durch das Gericht ist in Übereinstimmung mit der Vorinstanz festzustellen, dass die Asylvorbringen der Beschwerdeführer den Anforderungen an das Glaubhaftmachen nicht standzuhalten vermögen. Die Beschwerdevorbringen sind nicht geeignet, zu einer von der Vorinstanz abweichenden Betrachtungsweise zu führen, zumal die Beschwerdeführer den vorinstanzlichen Erwägungen nichts Substantielles entgegenhalten und lediglich am Wahrheitsgehalt ihrer bereits vorgetragenen Fluchtvorbringen festhalten. Hiermit gelingt es ihnen nicht aufzuzeigen, inwiefern die vorinstanzliche Beweiswürdigung Bundesrecht verletzen oder zu einer rechtsfehlerhaften Sachverhaltsfeststellung führen soll. Solches ist auch nicht ersichtlich. Der Beschwerdeführer will über einen Telefonanruf seines Geschäftsnachbarn von dem Polizeibesuch in seinem Coiffeursalon erfahren haben und von seiner Frau, dass er zuhause aufgesucht worden sein soll. Vorbringen, die sich lediglich auf Informationen Dritter stützen, sind jedoch nicht nur stereotyp, mithin unglaubhaft, sondern genügen auch nicht den Anforderungen an eine Verfolgung im asylrechtlichen Sinne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vgl. auch D-6056/2016 vom 19. Januar 2018 E. 5.2). Zudem lassen seine Antworten - auf wiederholt gestellte Fragen - darauf schliessen, dass er seine Tätigkeit rund um seinen angeblichen Coiffeursalon zu verschleiern versucht. So kann er namentlich nicht einmal sagen, wie lange er als Coiffeur gearbeitet oder wann er den Coiffeursalon eröffnet hat. Zudem gelang es ihm nicht zum zentralen Punkt seiner Flucht (Drogenfund) überzeugende Angaben zu machen. Stattdessen erschöpfen sich seine Aussagen in oberflächlichen Wiederholungen. Gleiches gilt für Abklärungen seines Vaters (beispielsweise will er seinen Vater nicht nach dessen Abklärungen gefragt haben, wisse aber - was er verschiedentlich wiederholt -, dass er wegen des Drogenfunds jahrelang in Haft kommen werde). Einerseits will er nie von den Behörden kontaktiert worden sein, andererseits soll es Untersuchungen und ein Gerichtsverfahren gegen ihn gegeben haben, was wiederum im Widerspruch zu den Angaben seiner Frau steht. Wobei er auch hierzu keine genaueren Angaben machen kann und sich zur Ausstellung und zum Erhalt des angeblichen Haftbefehls widerspricht. Dokumente, die käuflich leicht erworben werden können oder die keine fälschungssicheren Merkmale aufweisen, haben für sich alleine nur geringen Beweiswert. Auch bei der auf Beschwerdeebene eingereichten Kopie eines anwaltlichen Schreibens trifft beides zu. Dieses ist für sich alleine ohnehin nicht geeignet, die unglaubhaften Vorbringen in ein glaubhaftes Licht zu rücken. Vor diesem Hintergrund kann in antizipierter Beweiswürdigung auf die Nachforderung weiterer Unterlagen verzichtet werden. Angesichts der aufgezeigten Sachlage erübrigt es sich zudem, auf weitere Beschwerdeausführungen einzugehen, da diese nicht geeignet sind, zu einer anderen rechtlichen Würdigung der Aktenlage zu führen. Die stereotypen Ausführungen der Beschwerdeführerin - die lediglich wegen den Problemen ihres Mannes ausgereist sei - sind nicht geeignet, an der dargelegten Einschätzung etwas zu ändern. Im Gegenteil führen diese nur zu weiteren Widersprüchen. Um Wiederholungen zu vermeiden, ist auf die zutreffenden und ausführlichen Ausführungen der Vorinstanz zu verweisen, die zu Recht die Asylgesuche abgelehnt hat.</w:t>
      </w:r>
    </w:p>
    <w:p>
      <w:r>
        <w:rPr>
          <w:b/>
        </w:rPr>
        <w:t>E. 5</w:t>
      </w:r>
    </w:p>
    <w:p>
      <w:r>
        <w:t>Gemäss Art. 44 AsylG verfügt das SEM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 für den Fall einer Ausschaffung in den Irak dort mit beachtlicher Wahrscheinlichkeit einer nach Art. 3 EMRK oder Art. 1 FoK verbotenen Strafe oder Behandlung ausgesetzt wären. Der Vollzug der Wegweisung ist zulässig. Der entsprechende Beschwerdeantrag ist abzuweisen.</w:t>
      </w:r>
    </w:p>
    <w:p>
      <w:r>
        <w:rPr>
          <w:b/>
        </w:rPr>
        <w:t>E. 6.3.1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6.3.2</w:t>
      </w:r>
    </w:p>
    <w:p>
      <w:r>
        <w:t>Die Vorinstanz stellt im Wesentlichen fest, die Beschwerdeführer stammten aus einer der vier von der kurdischen Regionalregierung kontrollierten nordirakischen Provinzen. Die Konfliktlage im Irak zeichne sich durch grosse Dynamik und Volatilität aus, womit allgemeine Aussagen über die Sicherheits- und Menschenrechtslage rasch ihre Gültigkeit verlieren könnten. Trotz grosser Flüchtlingswelle in die Autonome Region Kurdistan sei die Sicherheits- und Versorgungslage für Einheimische nicht derart gravierend, dass generell von einer konkreten Gefährdung im Sinne von Art. 83 Abs. 4 AuG gesprochen werden könne. Die Lage in den angrenzenden Distrikten in den Provinzen Ninawa, Salah ad-Din und Diyala habe sich zudem dahingehend wesentlich verändert, dass der Krieg gegen die Terrormiliz Islamischer Staat als Territorialmacht von der irakischen Regierung als beendet erklärt worden sei und damit das sogenannte Kalifat Vergangenheit sei. In der Autonomen Region Kurdistan herrsche keine Situation allgemeiner Gewalt. Der Wegweisungsvollzug sei deshalb grundsätzlich zumutbar, was im Einklang mit der Wegweisungspraxis des Bundesverwaltungsgerichts stehe.</w:t>
      </w:r>
    </w:p>
    <w:p>
      <w:r>
        <w:rPr>
          <w:b/>
        </w:rPr>
        <w:t>E. 6.3.3</w:t>
      </w:r>
    </w:p>
    <w:p>
      <w:r>
        <w:t>Im Urteil E-3737/2015 vom 14. Dezember 2015 (als Referenzurteil publiziert) stellte das Bundesverwaltungsgericht fest, dass in den vier Provinzen der Autonomen Kurdischen Region (das Gebiet wird seit Anfang 2015 durch die Provinzen Dohuk, Erbil, Suleimaniya sowie Halabja gebildet) nach wie vor nicht von einer Situation allgemeiner Gewalt im Sinne von Art. 83 Abs. 4 AuG auszugehen ist und keine konkreten Anhaltspunkte für die Annahme vorliegen, dies werde sich in absehbarer Zeit massgeblich verändern (ursprünglich statt vieler BVGE 2008/5).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So setzt die Anordnung des Wegweisungsvollzugs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6.3.4</w:t>
      </w:r>
    </w:p>
    <w:p>
      <w:r>
        <w:t>Die jungen und gesunden Beschwerdeführer sind Kurden aus dem Nordirak. Sie verfügen beide über Schulbildung, ein grosses sowie gutsituiertes familiäres Beziehungsnetz - das sie bei Bedarf bei der Reintegration unterstützen kann - und ein eigenes Haus vor Ort. Der Beschwerdeführer kann zudem auf Arbeitserfahrung in verschiedenen Bereichen zurückgreifen. Die genannten begünstigenden Faktoren sprechen für die Zumutbarkeit des Wegweisungsvollzugs. Insgesamt ist nicht davon auszugehen, dass die Beschwerdeführer bei einer Rückkehr nach D._______ aufgrund der allgemeinen Situation oder aus individuellen Gründen wirtschaftlicher, sozialer oder gesundheitlicher Natur in eine existenzbedrohende Lage geraten würden. Dass die Beschwerdeführer in D._______ ein «gutes Leben» hatten, bestätigt die Beschwerde selbst (Beschwerde, S. 2). Der Vollzug der Wegweisung erweist sich sowohl in genereller als auch individueller Hinsicht als zumutbar.</w:t>
      </w:r>
    </w:p>
    <w:p>
      <w:r>
        <w:rPr>
          <w:b/>
        </w:rPr>
        <w:t>E. 6.4</w:t>
      </w:r>
    </w:p>
    <w:p>
      <w:r>
        <w:t>Nach Art. 83 Abs. 2 AuG ist der Vollzug auch als möglich zu bezeichnen, weil es den Beschwerdeführern obliegt, sich die für eine Rückkehr notwendigen Reisedokumente bei der zuständigen Vertretung ihres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 Der entsprechende Beschwerdeantrag ist abzuweisen.</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den Beschwerdeführern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