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E-3519/2023 vom 29. Juni 2023</w:t>
      </w:r>
    </w:p>
    <w:p>
      <w:r>
        <w:t>Bundesverwaltungsgericht, 2023-06-29, DE</w:t>
      </w:r>
    </w:p>
    <w:p>
      <w:r>
        <w:rPr>
          <w:b/>
        </w:rPr>
        <w:t xml:space="preserve">Quelle: </w:t>
      </w:r>
      <w:r>
        <w:t>https://mcp.opencaselaw.ch/entscheid/bvger_E-3519_2023</w:t>
      </w:r>
    </w:p>
    <w:p>
      <w:r>
        <w:t>FR: TAF E-3519/2023 du 29 juin 2023</w:t>
      </w:r>
    </w:p>
    <w:p>
      <w:r>
        <w:t>IT: TAF E-3519/2023 del 29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1.4</w:t>
      </w:r>
    </w:p>
    <w:p>
      <w:r>
        <w:t>Über die Beschwerde des Bruders C._______ (E-3544/2023) wird mit gleichem Spruchkörper sowie mit Urteil vom gleichen Tag und insofern - antragsgemäss - koordiniert entschieden.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begründet und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Rahmen eines Wiederaufnahmeverfahrens (engl.: take back) findet grundsätzlich keine (erneute) Zuständigkeitsprüfung nach Kapitel III statt (vgl. zum Ganzen BVGE 2019 VI/7 E. 4-6; 2017 VI/5 E. 6.2 und 8.2.1 m.w.H.).</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Ist ein Antragssteller insbesondere wegen schwerer Krankheit, ernsthafter Behinderung oder hohen Alters auf die Unterstützung seines Kindes, eines seiner Geschwister oder eines Elternteils angewiesen, das/der sich rechtmässig in einem Mitgliedstaat aufhält, oder trifft die umgekehrte Konstellation zu,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F-1568/2022 vom 12. April 2022 E. 7 und F-280/2021 vom 22. Juli 2021 E. 6 m.w.H.).</w:t>
      </w:r>
    </w:p>
    <w:p>
      <w:r>
        <w:rPr>
          <w:b/>
        </w:rPr>
        <w:t>E. 5</w:t>
      </w:r>
    </w:p>
    <w:p>
      <w:r>
        <w:t>Die Beschwerdeführerin rügt in formeller Hinsicht eine unvollständige beziehungsweise unrichtige Feststellung des medizinischen Sachverhalts sowie des geltend gemachten Abhängigkeitsverhältnisses in Bezug auf die Schwester B._______ und damit zusammenhängend auch eine Verletzung der Begründungspflicht. Sie bringt im Wesentlichen vor, ihr psychischer Zustand sei bis heute nicht von einer psychiatrischen Fachperson abgeklärt worden, obwohl bereits anlässlich des Dublingesprächs Hinweise für psychische Probleme bestanden hätten. Für den 2. Juni 2023 sei ein Arzttermin vorgesehen gewesen. Diesen habe sie jedoch nicht wahrnehmen können, weil sie ihre schwer kranke Schwester zu deren Dublingespräch begleitet habe. Der entsprechende Arztbericht liege aktuell noch nicht vor. Weiter habe die Vorinstanz das geltend gemachte Abhängigkeitsverhältnis zwischen ihr und ihrer Geschwister nicht ausreichend geprüft, obwohl aus den Protokollen der Dublingespräche von ihr und ihrer Schwester deutliche Hinweise auf ein solches Abhängigkeitsverhältnis hervorgehen würden. Da dies unter anderem mit dem Gesundheitszustand ihrer Schwester zusammenhänge, hätte die Vorinstanz die Verfahren wie beantragt koordinieren müssen. Der medizinische Sachverhalt sei sowohl in ihrem Verfahren, als auch im Verfahren ihrer Schwester und ihres Bruders D._______ (N [...]) noch nicht erstellt. Deshalb könne das geltend gemachte Abhängigkeitsverhältnis im jetzigen Zeitpunkt nicht abschliessen beurteilt werden. Die Sache sei an die Vorinstanz zurückzuweisen, damit diese die einzelnen Verfahren koordiniert behandelt, die medizinischen und weiteren Abklärungen abgewartet und die Gesuche der Beschwerdeführerin sowie ihrer Geschwister gemeinsam entschieden werden können.</w:t>
      </w:r>
    </w:p>
    <w:p>
      <w:r>
        <w:rPr>
          <w:b/>
        </w:rPr>
        <w:t>E. 5.1</w:t>
      </w:r>
    </w:p>
    <w:p>
      <w:r>
        <w:t>Diese formellen Rügen sind vorab zu beurteilen, da sie gegebenenfalls geeignet sind, eine Kassation der angefochtenen Verfügung zu bewirken.</w:t>
      </w:r>
    </w:p>
    <w:p>
      <w:r>
        <w:rPr>
          <w:b/>
        </w:rPr>
        <w:t>E. 5.2</w:t>
      </w:r>
    </w:p>
    <w:p>
      <w:r>
        <w:t>Gemäss Art. 29 Abs. 2 der Bundesverfassung der Schweizerischen Eidgenossenschaft vom 18. April 1999 (BV; SR 101) und Art. 29 VwVG haben die Parteien Anspruch auf rechtliches Gehör. Dieses umfasst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und 144 I 11 E. 5.3; BVGE 2009/ 35 E. 6.4.1 m.w.H.; vgl. ferner Patrick Sutter, in: Auer/ Müller/Schindler [Hrsg.], Kommentar zum Bundesgesetz über das Verwaltungsverfahren [VwVG], 2. Auflage, 2019, Rz. 1 zu Art. 29 VwVG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Auflage 2013, N 142; Patrick Krauskopf/Katrin Emmenegger/Fabio Babey, in: Waldmann / Weissenberger [Hrsg.], Praxiskommentar Verwaltungsverfahrensgesetz, 2. Auflage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Auer/Müller/Schindler [Hrsg.], a.a.O., N 16 zu Art. 12 VwVG). Grenze findet die Untersuchungspflicht der Behörde in der Mitwirkungspflicht der asylsuchenden Person (Art. 13 Abs. 1 VwVG und Art. 8 Abs. 1 AsylG</w:t>
      </w:r>
    </w:p>
    <w:p>
      <w:r>
        <w:rPr>
          <w:b/>
        </w:rPr>
        <w:t>E. 5.4</w:t>
      </w:r>
    </w:p>
    <w:p>
      <w:r>
        <w:t>In Bezug auf das geltend gemachte Abhängigkeitsverhältnis kommt die Vorinstanz in der angefochtenen Verfügung - nach theoretischen Ausführungen zu Art. 16 Abs. 1 Dublin-III-VO - zum Schluss, es würden keine ausreichenden Hinweise auf ein besonderes Abhängigkeitsverhältnis zwischen der Beschwerdeführerin und ihren Geschwistern bestehen. Dies gelte auch für die Schwester B._______, welche aufgrund ihrer Krebserkrankung eine erhöhte Vulnerabilität aufweise. Ausserdem führt die Vorinstanz an, keines ihrer Geschwister würde über eine Aufenthaltsberechtigung im Sinne von Art. 16 Abs. 1 Dublin-III-VO in der Schweiz verfügen. Mit diesen Erwägungen geht die Vorinstanz zunächst offenbar ebenfalls vom Verwandschaftsverhältnis der Beschwerdeführerin zu ihren Geschwistern sowie der bestehenden Krebserkrankung ihrer Schwester B._______ aus. In der Folge beschränkt sich die Vorinstanz in ihrer Begründung jedoch auf die pauschale Feststellung, es würden keine ausreichenden Hinweise für ein Abhängigkeitsverhältnis bestehen und die Geschwister würden über kein Aufenthaltsrecht in der Schweiz verfügen. Diese Argumentation beziehungsweise Begründung ist unzureichend. Ob die Voraussetzungen von Art. 16 Abs. 1 Dublin-III-VO vorliegend erfüllt sind, kann gestützt auf die Erwägungen der Vorinstanz und die Aktenlage vom Gericht nicht hinreichend geprüft werden. Dabei hat namentlich der konkrete Gesundheitszustand der Schwester B._______, ihre konkrete Unterstützungsbedürftigkeit (durch medizinisches Personal und durch ihre Geschwister), die familiäre Bindung der Geschwister im Heimatstaat oder die tatsächliche Unterstützungsmöglichkeit der Beschwerdeführerin in die Beurteilung einzufliessen. Die Vorinstanz setzt sich mit diesen Aspekten in der angefochtenen Verfügung nicht ansatzweise auseinander. Inwiefern sie diese in ihrer Entscheidfindung berücksichtigt hat, lässt sich vorliegend nicht beurteilen. Es ist nicht Aufgabe des Gerichts, diese Untersuchungshandlungen anstelle der Vorinstanz durchzuführen. Vor diesem Hintergrund hätte es sich aus Sicht der Vorinstanz auch aufgedrängt, das Verfahren der Beschwerdeführerin mit den Verfahren ihrer Geschwister - wie von der Beschwerdeführerin beantragt (vgl. SEM-eAkten, 1253757-17/1) - koordiniert zu behandeln. Wie sie zurecht vorbringt, ist namentlich der medizinische Sachverhalt der Schwester B._______ hinreichend abzuklären, da die Beurteilung des geltend gemachten Abhängigkeitsverhältnisses (unter anderem) auch davon abhängt.</w:t>
      </w:r>
    </w:p>
    <w:p>
      <w:r>
        <w:rPr>
          <w:b/>
        </w:rPr>
        <w:t>E. 5.5</w:t>
      </w:r>
    </w:p>
    <w:p>
      <w:r>
        <w:t>Damit hat die Vorinstanz den rechtserheblichen Sachverhalt in Bezug auf das geltend gemachte Abhängigkeitsverhältnis zwischen der Beschwerdeführerin und ihrer Schwester B._______ - in Verletzung der Untersuchungspflicht - nicht vollständig festgestellt und diesbezüglich auch ihre Begründungspflicht, mithin das rechtliche Gehör der Beschwerdeführerin, verletzt.</w:t>
      </w:r>
    </w:p>
    <w:p>
      <w:r>
        <w:rPr>
          <w:b/>
        </w:rPr>
        <w:t>E. 6</w:t>
      </w:r>
    </w:p>
    <w:p>
      <w:r>
        <w:t>Nach dem Gesagten ist die Beschwerde gutzuheissen, soweit damit die Aufhebung der angefochtenen Verfügung beantragt wird (Beschwerdebegehren 3). Die Vorinstanz wird angewiesen, den Sachverhalt in Bezug auf das geltend gemachte Abhängigkeitsverhältnis zwischen der Beschwerdeführerin und ihrer Schwester B._______ (N [...]) abzuklären und eine vollumfängliche rechtliche Würdigung mit Blick auf Art. 16 Abs. 1 Dublin-III-VO im Sinne der Erwägungen vorzunehmen. Ebenso wird die Vorinstanz angewiesen, das Verfahren der Beschwerdeführerin mit den Verfahren ihrer Geschwister (C._______, N [...]; D._______, N [...]; B._______, N [...]) koordiniert zu behandeln.</w:t>
      </w:r>
    </w:p>
    <w:p>
      <w:r>
        <w:rPr>
          <w:b/>
        </w:rPr>
        <w:t>E. 7.1</w:t>
      </w:r>
    </w:p>
    <w:p>
      <w:r>
        <w:t>Bei diesem Ausgang des Verfahrens sind keine Kosten zu erheben (Art. 63 Abs. 1 und 2 VwVG).</w:t>
      </w:r>
    </w:p>
    <w:p>
      <w:r>
        <w:rPr>
          <w:b/>
        </w:rPr>
        <w:t>E. 7.2</w:t>
      </w:r>
    </w:p>
    <w:p>
      <w:r>
        <w:t>Der vertretenen Beschwerdeführerin ist keine Parteientschädigung auszurichten, da sie durch die ihr zugewiesene unentgeltliche Rechtsvertretung im Sinne von Art. 102h AsylG vertreten wurde,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