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E-3517/2009 vom 19. März 2012</w:t>
      </w:r>
    </w:p>
    <w:p>
      <w:r>
        <w:t>Bundesverwaltungsgericht, 2012-03-19, DE</w:t>
      </w:r>
    </w:p>
    <w:p>
      <w:r>
        <w:rPr>
          <w:b/>
        </w:rPr>
        <w:t xml:space="preserve">Quelle: </w:t>
      </w:r>
      <w:r>
        <w:t>https://mcp.opencaselaw.ch/entscheid/bvger_E-3517_2009</w:t>
      </w:r>
    </w:p>
    <w:p>
      <w:r>
        <w:t>FR: TAF E-3517/2009 du 19 mars 2012</w:t>
      </w:r>
    </w:p>
    <w:p>
      <w:r>
        <w:t>IT: TAF E-3517/2009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die von der Beschwerdeführerin geltend gemachte versuchte Vergewaltigung, der Brandanschlag, die Schikanen und die Beschimpfungen durch Albaner und die wirtschaftlichen Schwierigkeiten hielten den Anforderungen an die Flüchtlingseigenschaft nicht stand. Das Bundesamt stellte fest, in Kosovo sei es zwar in den vergangenen Jahren vereinzelt zu schwerwiegenden Übergriffen auf Angehörige der ethnischen Minderheiten, namentlich der Ashkali / Ägypter / Majup, gekommen, doch könne nicht von allgemeinen Vertreibungen ausgegangen werden. In Kosovo würde es mit der UNO-Verwaltung (UNMIK) und der EULEX (European Union Rule of Law Mission in Kosovo) zwei internationale Missionen geben. Die internationalen Sicherheitskräfte und die Kosovo Police (KP) garantierten die Sicherheit und seien weitgehend in der Lage, die ethnischen Minderheiten zu schützen; sie intervenierten bei Übergriffen regelmässig und nähmen bei Straftaten gegen Angehörige von Minderheiten Ermittlungen auf. Die kosovarische Verfassung gestehe den Minderheiten umfassende Rechte zu. Angesichts dieser Sachlage sei vom Vorhandensein eines adäquaten Schutzes durch den Heimatstaat auszugehen, womit die geltend gemachten Übergriffe nicht asylrelevant seien. Die Vorbringen der Beschwerdeführerin hielten den Anforderungen an die Flüchtlingseigenschaft gemäss Art. 3 AsylG nicht stand. Demzufolge erfülle sie die Flüchtlingseigenschaft nicht, so dass das Asylgesuch abzulehnen sei. Die Folge der Ablehnung eines Asylgesuchs sei in der Regel die Wegweisung aus der Schweiz. Die Sicherheitslage in Kosovo habe sich in den vergangenen Jahren verbessert und sei in vielen Dörfern und Bezirken seit Jahren stabil. Die Verbesserungen im interethnischen Zusammenleben hätten vor allem für albanischsprachige Roma, Ashkali und Ägypter positive Auswirkungen. Die Wahrscheinlichkeit einer konkreten Gefährdung könne für albanischsprachige Roma, Ashkali und Ägypter - mit Ausnahme einiger Dörfer und Gemeinden - allein aufgrund der Ethnie ausgeschlossen werden. Zudem sei für diese Ethnien die Bewegungsfreiheit in Kosovo grundsätzlich gegeben. Auch der Zugang zu den medizinischen und sozialen Strukturen sei in aller Regel gewährleistet. Der Vollzug der Wegweisung sei somit zulässig und zumutbar und im Übrigen technisch möglich und praktisch durchführbar.</w:t>
      </w:r>
    </w:p>
    <w:p>
      <w:r>
        <w:rPr>
          <w:b/>
        </w:rPr>
        <w:t>E. 4.2</w:t>
      </w:r>
    </w:p>
    <w:p>
      <w:r>
        <w:t>In der Rechtsmitteleingabe machte die Beschwerdeführerin geltend, die angefochtene Verfügung verletze Bundesrecht und stelle den Sachverhalt unvollständig und teilweise unrichtig fest. Im Wegweisungspunkt sei sie überdies völlig unangemessen, weil sie 17 Jahre in Deutschland gelebt habe und die deutsche Sprache besser beherrsche als ihre eigentliche Muttersprache. Indem das Bundesamt auf die langjährige Anwesenheit in Deutschland nicht eingehe, verletze die vorinstanzliche Verfügung die Begründungspflicht und damit das rechtliche Gehör. Insbesondere hätten die deutschen Asylakten beigezogen werden müssen, da aus diesen hervorgehe, dass die Familie aufgrund einer Fehlinformation der UNMIK zu Unrecht aus Deutschland ausgeschafft worden sei. Es werde deshalb beantragt, die Akten des deutschen Asylverfahrens im vorliegenden Verfahren beizuziehen. Das BFM begründe die angefochtene Verfügung nur damit, dass die geltend gemachte Verfolgung asylrechtlich nicht relevant sei. Dagegen bestreite es nicht, dass die Beschwerdeführerin aus B._____ stamme und der Ethnie der Ashkali angehöre. Falls diesbezüglich Zweifel bestünden, müssten wiederum Abklärungen vor Ort vorgenommen werden. Die deutschen Asylbehörden hätten sich auf eine unbelegte Auskunft gestützt und die Beschwerdeführerin nicht zum Gegenbeweis zugelassen, was rechtstaatlich nicht korrekt sei. Ausserdem sei ihr jegliche Rückkehrhilfe verwehrt worden. Auch der Umstand, dass ihre Familie nach der Ausschaffung in der Heimat sogleich wieder verfolgt worden sei, beweise, dass sie der Minderheit der Ashkali angehöre. Entgegen der Folgerung der Vorinstanz seien die geltend gemachten Vorfälle als asylrechtlich relevante Verfolgung anzusehen. Es treffe nicht zu, dass Straftäter in Kosovo verfolgt würden. Die Polizei funktioniere nicht und Vergewaltigungen seien schon beinahe an der Tagesordnung. Übergriffe gegen Angehörige von Minderheiten würden nicht verfolgt beziehungsweise nur pro forma registriert. Aus diesem Grund sei auch die Fahndung nach den Brandstiftern versandet. Dass der Vergewaltigungsversuch ernst gemeint und von der Beschwerdeführerin auch ernst genommen worden sei zeige der Umstand, dass sie sich nachher praktisch nicht mehr allein aus dem Haus gewagt habe. Offensichtlich seien nichtalbanische Mädchen in Kosovo eine Art Freiwild. Die Verfolgung gehe zwar vorliegend von Privatpersonen aus, die Abgrenzung zu Angehörigen der Sicherheitskräfte, welche nebenbei selbst ethnische Minderheiten verfolgen würden, könne jedoch nicht sehr scharf erfolgen. Solange diese Mentalität vorherrsche, sei auch die Verfolgung durch Private asylrechtlich relevant, dies umso mehr, als der Staat nichts dagegen unternehme. Es sei unzumutbar, von der Beschwerdeführerin zu verlangen, zuerst zum Opfer zu werden, bevor man sie als Flüchtlinge anerkenne. Der vom BFM angeordnete Vollzug der Wegweisung sei unzulässig. Die Beschwerdeführerin sei nur knapp einem Brandanschlag entkommen und beinahe vergewaltigt worden. Diese Verfolgung sei zwar möglicherweise von Drittpersonen ausgegangen, diese seien jedoch vermutlich mit den Sicherheitskräften verhängt. Sodann könne der Beschwerdeführerin nicht zugemutet werden, in Kosovo zu warten, bis ein Brandanschlag oder eine Vergewaltigung tatsächlich gelinge. Die in Kosovo bestehende Verfolgung der Ashkali sei als unmenschliche Behandlung im Sinne von Art. 3 der Konvention vom 4. November 1950 zum Schutze der Menschenrechte und Grundfreiheiten (EMRK, SR 0.101) anzusehen. Der Wegweisungsvollzug verstosse somit gegen Völkerrecht. Der Wegweisungsvollzug sei auch unzumutbar. Die Beschwerdeführerin habe fast ihr ganzes Leben in Deutschland verbracht, verfüge über ungenügende und lediglich mündliche Kenntnisse der albanischen Sprache, beherrsche jedoch die deutsche Sprache. Eine Rückkehr vom westeuropäischen Kulturkreis, in den sie sich vollständig integriert habe, in denjenigen Kosovos sei unzumutbar. Wie die Vergangenheit gezeigt habe, sei es ihr unmöglich, sich dort zu in­tegrieren. Der Umstand, dass die Beschwerdeführerin im Alter von drei Monaten nach Deutschland gekommen sei und danach 17 Jahre lang dort gelebt habe, sei bei der Prüfung der Zumutbarkeit zu berücksichtigen. Da sie fliessend Deutsch spreche und in deutscher Sprache schreiben gelernt habe, sei sie auch in der Schweiz voll integriert, sie verfüge hier sogar über eine Lehrstelle, welche sie jederzeit antreten könne. Im Unterschied zu den deutschen Asylbehörden gehe das BFM davon aus, dass die Beschwerdeführerin und ihre Familie Ashkali seien und aus B._____ stammten. Damit anerkenne es auch, dass die Ausschaffung aus Deutschland zu Unrecht erfolgt sei und dieses Unrecht korrigiert werden müsse. Die Anordnung des Wegweisungsvollzuges sei deshalb aufzuheben und es sei stattdessen eine vorläufige Aufnahme zu verfügen.</w:t>
      </w:r>
    </w:p>
    <w:p>
      <w:r>
        <w:rPr>
          <w:b/>
        </w:rPr>
        <w:t>E. 5.1</w:t>
      </w:r>
    </w:p>
    <w:p>
      <w:r>
        <w:t>Das Bundesverwaltungsgericht teilt die Auffassung des BFM, wonach die geltend gemachten Übergriffe und die allgemein schwierige Lage in Kosovo nicht asylrelevant sind.</w:t>
      </w:r>
    </w:p>
    <w:p>
      <w:r>
        <w:rPr>
          <w:b/>
        </w:rPr>
        <w:t>E. 5.2</w:t>
      </w:r>
    </w:p>
    <w:p>
      <w:r>
        <w:t>Die Beschwerdeführerin macht geltend, es sei ein Brandanschlag auf das Haus ihrer Familie verübt worden, sie sei beschimpft, schikaniert und bedroht worden und nur knapp einer Vergewaltigung entgangen. Das Gericht hat Kenntnis davon, dass es in Kosovo nach wie vor zu solchen Vorfällen kommt, jedoch handelt es sich dabei nicht um Nachteile, welche von Organen des Heimatstaates ausgehen oder von diesen geduldet beziehungsweise nicht geahndet werden. Übergriffe durch Dritte oder Befürchtungen, künftig solchen ausgesetzt zu sein, sind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Wie die Vorinstanz zu Recht feststellt, sind die internationalen Sicherheitskräfte und die KP gewillt und in der Lage, die ethnischen Minderheiten zu schützen, und sie verfolgen Straftaten gegen Angehörige solcher Minderheiten. Es ist deshalb vom Vorhandensein eines adäquaten Schutzes durch den Heimatstaat auszugehen. Die Beschwerdeführerin bringt vor, die Brandstiftung sei trotz Anzeige nie aufgeklärt worden. Die Polizei habe die Anzeige nur pro forma registriert und die Fahndung versanden lassen. Falls sich die lokalen Polizeibehörden tatsächlich nicht korrekt verhalten haben sollten, hätte indessen die Möglichkeit bestanden, sich an übergeordnete nationale Behörden oder an die internationalen Kräfte zu wenden, um dem Einhalt zu gebieten. Dies hat die Beschwerdeführerin nicht getan. Hinsichtlich der versuchten Vergewaltigung hat sie es sogar unterlassen, eine Anzeige zu erstatten. Soweit sie die allgemein schlechte Lage in Kosovo beschreibt, ist festzuhalten, dass das Verlassen des Heimatstaates aufgrund von Perspektivlosigkeit oder wirtschaftlicher Schwierigkeiten zwar verständlich, aber nicht asylrechtlich relevant ist.</w:t>
      </w:r>
    </w:p>
    <w:p>
      <w:r>
        <w:rPr>
          <w:b/>
        </w:rPr>
        <w:t>E. 5.3</w:t>
      </w:r>
    </w:p>
    <w:p>
      <w:r>
        <w:t>Das Bundesamt hat demnach zu Recht gefolgert, die Vorbringen der Beschwerdeführerin hielten den Anforderungen an die Flüchtlingseigenschaft gemäss Art. 3 AsylG nicht stand und sie erfülle diese demnach nicht, so dass ihr Asylgesuch abzulehnen sei.</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Art. 32 Bst. a der Asylverordnung 1 vom 11. August 1999 [AsylV 1, SR 142.311];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Kosovo ist demnach unter dem Aspekt von Art. 5 AsylG rechtmässig. Sodann ergeben sich weder aus den Aussagen der Beschwerde­führerin noch aus den Akten Anhaltspunkte dafür, dass sie für den Fall einer Ausschaffung nach Kosovo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der Beschwerdeführerin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begründete die Anordnung des Wegweisungsvollzugs damit, dass weder die im Heimatstaat herrschende politische Situation noch andere Gründe gegen die Zumutbarkeit der Rückführung sprechen würden.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diese Minderheiten - mit Ausnahme einiger Gemeinden, zu denen B._____ indessen nicht zähle - allein aufgrund der Ethnie ausgeschlossen werden. Zudem sei für diese Ethnien die Bewegungsfreiheit grundsätzlich in ganz Kosovo gegeben und der Zugang zu den medizinischen und sozialen Strukturen sei in aller Regel gewährleistet. Sodann gebe es auch keine individuellen Gründe, die gegen die Zumutbarkeit eines Wegweisungsvollzugs sprechen würden. Das Asylgesuch der Eltern der Beschwerdeführerin sei mit Entscheid vom 28. April 2009 abgelehnt und die Wegweisung aus der Schweiz verfügt worden. Die Beschwerdeführerin verfüge somit in ihrem Heimatland über ein kompaktes verwandtschaftliches Beziehungsnetz. Ausserdem könnten ihre Eltern wie bis anhin mit finanzieller Unterstützung ihrer Verwandten aus Deutschland rechnen.</w:t>
      </w:r>
    </w:p>
    <w:p>
      <w:r>
        <w:rPr>
          <w:b/>
        </w:rPr>
        <w:t>E. 7.6</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ARK fortgeführt (vgl. EMARK 2006 Nr. 10 und 11). Das Bundesverwaltungsgericht hält auch nach der Unabhängigkeitserklärung von Kosovo, dessen Anerkennung durch die Schweiz sowie der Qualifikation durch den Bundesrat als "Safe Country" an dieser Rechtsprechung grundsätzlich fest. Die Situation der Minderheiten hat sich betreffend Arbeitsmarkt und diskriminierungsfreien Zugang zu öffentlichen Leistungen wie Ausbildung, Justiz oder medizinischer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7.7</w:t>
      </w:r>
    </w:p>
    <w:p>
      <w:r>
        <w:t>Die Vorinstanz hat in der angefochtenen Verfügung die Zumutbarkeit des Wegweisungsvollzuges bejaht, ohne die Zumutbarkeitskriterien im Rahmen einer Einzelfallabklärung vor Ort vertieft geprüft zu haben. Das Urteil BVGE 2007/10 verlangt zwar nicht in jedem Fall zwingend - etwa als formelle und materielle Bedingung einer hinreichenden Erstellung des rechtserheblichen Sachverhaltes - eine Einzelfallabklärung vor Ort. Ein Entscheid soll sich aber nicht bloss auf Angaben der Asylsuchenden - welche sich in der Regel auf die rudimentäre Bekanntgabe naher Angehöriger und ausgeübter Berufstätigkeit beschränken - stützen, sondern auf eine konkrete Analyse der Situation vor Ort, welche ein genaueres Bild der herrschenden Verhältnisse vermitteln kann. Vorliegend hat das BFM die Frage der Zumutbarkeit des Wegweisungsvollzuges einzig aufgrund der Angaben der Beschwerdeführerin und ihrer Familie geprüft. Dadurch ist jedoch nicht in genügender Weise abgeklärt, ob sie sich in ihrer Heimat auf ein soziales Netzwerk abstützen kann und ob eine ausreichende wirtschaftliche Lebensgrundlage besteht. Gerade vor dem Hintergrund der in Deutschland aufgetretenen Unsicherheit bezüglich der ethnischen Zugehörigkeit und Herkunft der Beschwerdeführerin wäre vorliegend eine Einzelfallabklärung unumgänglich gewesen. Da eine solche nicht erfolgt ist, beruht die Verfügung des BFM auf einem unvollständig festgestellten Sachverhalt. Dieser schwerwiegende Mangel ist vom BFM auch in der Vernehmlassung nicht korrigiert worden.</w:t>
      </w:r>
    </w:p>
    <w:p>
      <w:r>
        <w:rPr>
          <w:b/>
        </w:rPr>
        <w:t>E. 7.8</w:t>
      </w:r>
    </w:p>
    <w:p>
      <w:r>
        <w:t>Das Bundesverwaltungsgericht entscheidet in der Regel reformatorisch. Nur ausnahmsweise wird eine angefochtene Verfügung kassiert und an die Vorinstanz zurückgewiesen. In casu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der Beschwerdeführerin auf diese Weise der Instanzenzug erhalten, was umso wichtiger ist, als im Asylverfahren das Bundesverwaltungsgericht letztinstanzlich entscheidet. Nach dem Gesagten sind die Ziffern 4 und 5 der angefochtenen Verfügung aufzuheben und die Beschwerde ist bezüglich Anordnung des Weg-weisungsvollzuges gutzuheissen. Das BFM ist anzuweisen, die erforderlichen Abklärungen (vor Ort) vorzunehmen beziehungsweise vornehmen zu lassen und aufgrund des vollständig erstellten und aktualisierten Sachverhalts betreffend den Vollzug der Wegweisung neu zu entscheiden. Bei dieser Sachlage erübrigt es sich, auf die diesbezüglichen Beschwerdevorbringen weiter einzugehen.</w:t>
      </w:r>
    </w:p>
    <w:p>
      <w:r>
        <w:rPr>
          <w:b/>
        </w:rPr>
        <w:t>E. 8.1</w:t>
      </w:r>
    </w:p>
    <w:p>
      <w:r>
        <w:t>Bei diesem Ausgang des Verfahrens wären die Kosten nach dem Grad des Durchdringens praxisgemäss zur Hälfte (Fr. 300.-) der Beschwerdeführerin aufzuerlegen (Art. 63 Abs. 1 und 5 VwVG; Art. 1-3 des Reglements vom 21. Februar 2008 über die Kosten und Entschädigungen vor dem Bundesverwaltungsgericht [VGKE, SR 173.320.2]). Nachdem das Gesuch um Gewährung der unentgeltlichen Rechtspflege im Sinne von Art. 65 Abs. 1 VwVG mit Zwischenverfügung vom 11. Juni 2009 gutgeheissen worden ist, ist von der Auferlegung der hälftigen Verfahrenskosten jedoch abzusehen.</w:t>
      </w:r>
    </w:p>
    <w:p>
      <w:r>
        <w:rPr>
          <w:b/>
        </w:rPr>
        <w:t>E. 8.2</w:t>
      </w:r>
    </w:p>
    <w:p>
      <w:r>
        <w:t>Die Beschwerdeinstanz kann der ganz oder teilweise obsiegenden Partei von Amtes wegen oder auf Begehren hin eine Entschädigung für die ihr erwachsenen notwendigen und verhältnismässig hohen Kosten zusprechen kann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den Beschwerdeführenden eine Parteientschädigung in der Höhe von pauschal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