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E-3511/2016 vom 24. August 2016</w:t>
      </w:r>
    </w:p>
    <w:p>
      <w:r>
        <w:t>Bundesverwaltungsgericht, 2016-08-24, FR</w:t>
      </w:r>
    </w:p>
    <w:p>
      <w:r>
        <w:rPr>
          <w:b/>
        </w:rPr>
        <w:t xml:space="preserve">Quelle: </w:t>
      </w:r>
      <w:r>
        <w:t>https://mcp.opencaselaw.ch/entscheid/bvger_E-3511_2016</w:t>
      </w:r>
    </w:p>
    <w:p>
      <w:r>
        <w:t>FR: TAF E-3511/2016 du 24 août 2016</w:t>
      </w:r>
    </w:p>
    <w:p>
      <w:r>
        <w:t>IT: TAF E-3511/2016 del 24 agosto 2016</w:t>
      </w:r>
    </w:p>
    <w:p>
      <w:pPr>
        <w:pStyle w:val="Heading2"/>
      </w:pPr>
      <w:r>
        <w:t>Regeste</w:t>
      </w:r>
    </w:p>
    <w:p>
      <w:r>
        <w:t>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Les recourants ont qualité pour recourir. Présenté dans la forme et dans les délais prescrits par la loi, le recours est recevable (art. 48 et 52 PA et art. 108 al. 1 LAsi).</w:t>
      </w:r>
    </w:p>
    <w:p>
      <w:r>
        <w:rPr>
          <w:b/>
        </w:rPr>
        <w:t>E. 2</w:t>
      </w:r>
    </w:p>
    <w:p>
      <w:r>
        <w:t>Les intéressés n'ont pas contesté les chiffres 1, 2 et 3 de la décision du SEM qui leur dénie la qualité de réfugié, rejette leurs demandes d'asile et prononce leur renvoi, de sorte que, sur ces points, celle-ci a acquis la force de la chose décidée. Ils ont en revanche contesté la décision précitée en ce qu'elle prononce l'exécution du renvoi de l'intéressé en Ukraine. Il convient en conséquence d'examiner si le SEM a, à juste titre, ordonné l'exécution du renvoi de A._______ vers son pays d'origine (art. 44 al. 1 LAsi).</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w:t>
      </w:r>
    </w:p>
    <w:p>
      <w:r>
        <w:t>L'exécution du renvoi est ordonnée si elle est licite, raisonnablement exigible et possible. Si ces conditions ne sont pas réunies, l'admission provisoire doit être prononcée. Celle-ci est réglée par l'art. 83 LEtr (RS 142.20).</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4.3</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5.4</w:t>
      </w:r>
    </w:p>
    <w:p>
      <w:r>
        <w:t>En l'occurrence, l'intéressé affirme être exposé, en Ukraine, à des représailles en raison de son insoumission au service militaire. Il craint également qu'après son retour, il soit mobilisé et blessé voire tué au combat. Pour ces motifs, il estime que son renvoi est contraire à l'art. 3 CEDH et, partant, illicite. Il convient dès lors de déterminer si le recourant risque effectivement d'être exposé, en Ukraine, à des traitements prohibés par cette disposition.</w:t>
      </w:r>
    </w:p>
    <w:p>
      <w:r>
        <w:rPr>
          <w:b/>
        </w:rPr>
        <w:t>E. 5.4.1</w:t>
      </w:r>
    </w:p>
    <w:p>
      <w:r>
        <w:t>S'agissant d'abord de son refus de servir, rien dans le dossier ne permet de présager que l'intéressé risque, en Ukraine, des sanctions qui seraient déterminantes sous l'angle de l'art. 3 CEDH. Sur ce point, il convient surtout de relever que, selon la convocation produite, le refus de servir à l'armée peut être puni, en l'Ukraine, soit d'une amende ou d'emprisonnement pour six mois, soit d'une astreinte à des travaux « correctionnels » pour un maximum de deux ans. Il s'agit donc uniquement des sanctions qui visent à réprimer la désertion de l'armée. Elles n'impliquent aucunement une mise en danger concrète de la vie ou de la santé de la personne impliquée et partant, ne peuvent pas être assimilées à des traitements prohibés par l'art. 3 CEDH. Par ailleurs, il convient d'observer qu'un Etat peut légitimement adopter des sanctions pour réprimer une violation de l'obligation de servir.</w:t>
      </w:r>
    </w:p>
    <w:p>
      <w:r>
        <w:rPr>
          <w:b/>
        </w:rPr>
        <w:t>E. 5.4.2</w:t>
      </w:r>
    </w:p>
    <w:p>
      <w:r>
        <w:t>Quant au risque d'être mobilisé et envoyé sur le front, celui-ci ne peut pas, non plus, s'analyser comme une atteinte à l'art. 3 CEDH. Il s'agit en effet ici de l'accomplissement d'un devoir de citoyen, l'obligation qui ne peut pas être considérée en tant que telle comme un traitement inhumain ou dégradant interdit par l'art. 3 CEDH. Le risque d'être blessé voire tué est en effet inhérent à la défense de son pays dans la cadre d'un service commandé.</w:t>
      </w:r>
    </w:p>
    <w:p>
      <w:r>
        <w:rPr>
          <w:b/>
        </w:rPr>
        <w:t>E. 5.5</w:t>
      </w:r>
    </w:p>
    <w:p>
      <w:r>
        <w:t>S'agissant de la situation de la recourante, aucun élément du dossier ne permet de présager qu'elle puisse être soumise, après son renvoi en Moldavie, à des traitements prohibés par l'art. 3 CEDH. Le recours ne contient d'ailleurs aucune allégation sur ce point.</w:t>
      </w:r>
    </w:p>
    <w:p>
      <w:r>
        <w:rPr>
          <w:b/>
        </w:rPr>
        <w:t>E. 5.6</w:t>
      </w:r>
    </w:p>
    <w:p>
      <w:r>
        <w:t>Partant, l'exécution du renvoi des recourants ne transgresse aucun engagement de la Suisse relevant du droit international, de sorte qu'elle s'avère licite (art. 44 al. 2 LAsi et 83 al. 3 LEtr).</w:t>
      </w:r>
    </w:p>
    <w:p>
      <w:r>
        <w:rPr>
          <w:b/>
        </w:rPr>
        <w:t>E. 6</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6.1</w:t>
      </w:r>
    </w:p>
    <w:p>
      <w:r>
        <w:t>S'agissant de l'Ukraine, en dépit des combats prévalant dans l'est du pays, elle ne connaît pas, sur l'ensemble de son territoire,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(cf. arrêt du Tribunal E-3017/2015 du 10 juillet 2015, consid. 8.3 p. 10).</w:t>
      </w:r>
    </w:p>
    <w:p>
      <w:r>
        <w:rPr>
          <w:b/>
        </w:rPr>
        <w:t>E. 6.2</w:t>
      </w:r>
    </w:p>
    <w:p>
      <w:r>
        <w:t>En outre, s'agissant en particulier de la situation de l'intéressé, il convient de rappeler ici que l'art. 83 al. 4 LEtr vise essentiellement des civils et ne s'applique pas à des personnes mobilisées comme soldat. En conséquence, contrairement à ce qu'il prétend dans son recours, l'intéressé ne peut pas, en sa qualité de recrute, alléguer la violation de cette disposition au motif d'être exposé à un danger lors du combat.</w:t>
      </w:r>
    </w:p>
    <w:p>
      <w:r>
        <w:rPr>
          <w:b/>
        </w:rPr>
        <w:t>E. 6.3</w:t>
      </w:r>
    </w:p>
    <w:p>
      <w:r>
        <w:t>Quant à la recourante, elle n'a pas contesté l'exigibilité de l'exécution de son renvoi.</w:t>
      </w:r>
    </w:p>
    <w:p>
      <w:r>
        <w:rPr>
          <w:b/>
        </w:rPr>
        <w:t>E. 6.4</w:t>
      </w:r>
    </w:p>
    <w:p>
      <w:r>
        <w:t>Pour ces motifs, l'exécution du renvoi des intéressés est raisonnablement exigible.</w:t>
      </w:r>
    </w:p>
    <w:p>
      <w:r>
        <w:rPr>
          <w:b/>
        </w:rPr>
        <w:t>E. 7</w:t>
      </w:r>
    </w:p>
    <w:p>
      <w:r>
        <w:t>Enfin, les recourants sont en possession de documents suffisants pour rentrer dans leur pays respectifs ou, à tout le moins, sont en mesure d'entreprendre toute démarche nécessaire auprès des représentations de leur pays d'origine en vue de l'obtention de documents de voyage. L'exécution de leur renvoi ne se heurte donc pas à des obstacles insurmontables d'ordre technique et s'avère également possible (cf. ATAF 2008/34 consid. 12). Il convient encore d'observer que les intéressés, qui sont mariés, proviennent de deux pays différents. B._______ dispose toutefois d'un permis de séjour en Ukraine. Elle peut donc s'y installer avec son mari si elle ne souhaite pas se séparer de lui. Inversement, si l'intéressé désire suivre son épouse en Moldavie, il lui est loisible d'entamer, auprès des autorités compétentes de ce pays, une procédure de regroupement familial lui permettant d'y obtenir une autorisation de séjour adéquate.</w:t>
      </w:r>
    </w:p>
    <w:p>
      <w:r>
        <w:rPr>
          <w:b/>
        </w:rPr>
        <w:t>E. 8</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9</w:t>
      </w:r>
    </w:p>
    <w:p>
      <w:r>
        <w:t>Dans la mesure où il est statué immédiatement, la demande de dispense du versement d'une avance des frais de procédure présumés est sans objet.</w:t>
      </w:r>
    </w:p>
    <w:p>
      <w:r>
        <w:rPr>
          <w:b/>
        </w:rPr>
        <w:t>E. 10</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