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E-3502/2023 vom 22. Juni 2023</w:t>
      </w:r>
    </w:p>
    <w:p>
      <w:r>
        <w:t>Bundesverwaltungsgericht, 2023-06-22, FR</w:t>
      </w:r>
    </w:p>
    <w:p>
      <w:r>
        <w:rPr>
          <w:b/>
        </w:rPr>
        <w:t xml:space="preserve">Quelle: </w:t>
      </w:r>
      <w:r>
        <w:t>https://mcp.opencaselaw.ch/entscheid/bvger_E-3502_2023</w:t>
      </w:r>
    </w:p>
    <w:p>
      <w:r>
        <w:t>FR: TAF E-3502/2023 du 22 juin 2023</w:t>
      </w:r>
    </w:p>
    <w:p>
      <w:r>
        <w:t>IT: TAF E-3502/2023 del 22 giugno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déjà relevé, les investigations entreprises par le SEM ont révélé, après consultation de l'unité centrale du système européen « Eurodac », que le requérant avait déposé une demande d'asile en Croatie le 3 mars 2023. Ses déclarations selon lesquelles, en substance, il aurait été contraint de déposer une demande d'asile en Croatie, sous peine d'être emprisonné en cas de refus, ne sont pas étayées (cf. consid. 6.4 ci-dessous). Cela dit, il ne peut être, sur le principe, reproché aux autorités croates d'avoir enregistré l'intéressé à son passage dans le pays et de lui avoir enjoint de déposer une demande d'asile, afin de pouvoir autoriser son séjour sur le territoire croate et le prendre en charge. En procédant au relevé des empreintes digitales de l'intéressé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les allégations du recourant ne suffisent pas à établir qu'aux fins de l'enregistrement de sa demande de protection internationale, il a subi de la part de la police croate des moyens de contrainte contraires à l'art. 3 CEDH ou aux art. 3 et 16 de la Convention du 10 décembre 1984 contre la torture et autres peines ou traitements cruels, inhumains ou dégradants (CCT, RS 0.105).</w:t>
      </w:r>
    </w:p>
    <w:p>
      <w:r>
        <w:rPr>
          <w:b/>
        </w:rPr>
        <w:t>E. 4.2</w:t>
      </w:r>
    </w:p>
    <w:p>
      <w:r>
        <w:t>En date du 24 mai 2023, l'autorité intimée a dès lors soumis aux autorités croates compétentes, dans les délais fixés à l'art. 23 par. 2 du règlement Dublin III, une requête aux fins de reprise en charge, fondée sur l'art. 18 al. 1 let. b du règlement Dublin III.</w:t>
      </w:r>
    </w:p>
    <w:p>
      <w:r>
        <w:rPr>
          <w:b/>
        </w:rPr>
        <w:t>E. 4.3</w:t>
      </w:r>
    </w:p>
    <w:p>
      <w:r>
        <w:t>Les autorités croates ont expressément accepté de reprendre en charge le recourant en date du 7 juin 2023, sur la base de l'art. 20 par. 5 RD III (sur la validité d'une telle acceptation, cf. arrêt du TribunalE-380/2023 du 19 juin 2023 consid. 5.3). La Croatie a ainsi reconnu sa compétence pour achever le processus de détermination de l'Etat membre responsable de l'examen de la demande d'asile déposée par l'intéressé, point qui n'est pas contesté.</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CCT. 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Tribunal E-380/2023 précité consid. 6.4 et arrêt de coordinationE-1488/2020 du 22 mars 2023 consid. 9.5).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Pour s'opposer à son transfert vers la Croatie, l'intéressé dit y avoir été maltraité par la police et avoir été contraint d'y déposer une demande d'asile. Il aurait quitté le Maroc le 3 novembre 2022, avec pour objectif de déposer une demande d'asile en Suisse. Il aurait été frappé en tentant d'entrer en Croatie depuis la Serbie. Une fois en Croatie, il aurait été menacé d'incarcération. Il aurait en outre subi le racisme des autorités croates, qui se moquaient de lui. Il serait resté moins d'un jour dans ce pays et aurait poursuivi sa route vers la Slovénie, où il aurait passé deux jours dans un camp. Il aurait également été contraint d'y déposer une demande d'asile, et, ici encore, aurait été victime du racisme et des moqueries des autorités. Il aurait ensuite continué sa route vers l'Italie, puis la Suisse (cf. entretien Dublin). Au stade du recours, il a notamment précisé avoir été emmené dans un centre à Zagreb pour relever ses empreintes digitales, après son interpellation par la police croate. Il aurait attendu pendant cinq heures, enfermé dans une voiture. Les policiers se seraient moqués de lui en raison de son bégaiement. Trois voitures de police supplémentaires seraient ensuite arrivées. Leurs occupants, sachant qu'il bégayait, lui auraient posé des questions pour le faire parler et se seraient à leur tour moqués de lui. Il se serait senti comme un animal de cirque. Les autorités croates n'auraient eu, selon lui, ni empathie à son égard, ni respect pour les droits de l'Homme et pour son handicap. Il serait impensable pour lui de retourner en Croatie après avoir été maltraité de la sorte. Il lui serait en outre impossible de s'exprimer et de communiquer dans ce pays. En Suisse, il se sentirait enfin protégé par rapport à son handicap et soutenu par rapport à son vécu. Il préfèrerait être emprisonné en Suisse que retourner en Croatie.</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concernant la situation générale en Croatie en lien avec la procédure d'asile (cf. supra, consid. 5.4) ne sauraient infléchir ce raisonnement. En outre, le recourant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astreints à se rendre dans un tel pays.</w:t>
      </w:r>
    </w:p>
    <w:p>
      <w:r>
        <w:rPr>
          <w:b/>
        </w:rPr>
        <w:t>E. 6.4</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où il a passé moins d'un jour, revêtiraient un tel degré de pénibilité et de gravité, pour un requérant d'asile, qu'elles seraient constitutives d'un traitement contraire à l'art. 3 CEDH ou encore aux art. 3 ou 16 CCT (cf. arrêt du Tribunal F-1125/2021 du 19 mars 2021 consid. 4.5). Sur le fond, les déclarations du recourant ne suffisent pas à établir qu'il a subi de la part de la police croate des traitements contraires à l'art. 3 CEDH ou aux art. 3 ou 16 CCT. Au demeurant, à admettre qu'il ait été traité avec hostilité par des membres de la police croate, notamment qu'il ait été victime de racisme ou de moqueries de la part de certains d'entre eux, de tels comportements ne sauraient refléter l'attitude des autorités croates dans leur ensemble. Les violences que l'intéressé aurait subies à la frontière serbo-croate ne sont en rien étayées. Ses déclarations sur ce point sont d'ailleurs demeurées particulièrement laconiques, l'intéressé se bornant à déclarer avoir été « frappé » lorsqu'il est entré en Croatie, sans autre précision. En outre, et surtout, ses allégations à cet égard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 F-1543/2018 du 19 mars 2018 consid. 6.2 ainsi que art. 26 Directive Accueil).</w:t>
      </w:r>
    </w:p>
    <w:p>
      <w:r>
        <w:rPr>
          <w:b/>
        </w:rPr>
        <w:t>E. 6.5.1</w:t>
      </w:r>
    </w:p>
    <w:p>
      <w:r>
        <w:t>L'intéressé a déclaré souffrir de bégaiement, expliquant en pâtir psychologiquement car les gens se comportent différemment à son égard et se moquent de lui depuis sa naissance. Il aurait notamment renoncé à poursuivre des études en raison des humiliations subies de la part d'enseignants. Il n'aurait pas fait part de ce problème à l'infirmerie. Sa représentante juridique a demandé que sa « vulnérabilité apparente » soit consignée au procès-verbal de son audition (cf. entretien Dublin). Au stade du recours, l'intéressé a affirmé que l'épisode au cours duquel plusieurs policiers croates s'étaient moqués de lui en raison de son bégaiement avait été très traumatisant pour lui. Depuis, il irait très mal psychologiquement. Depuis son arrivée en Suisse, il aurait demandé à voir un psychologue et serait toujours dans l'attente d'un rendez-vous, qui serait « très nécessaire » pour sa santé mentale, laquelle serait en jeu.</w:t>
      </w:r>
    </w:p>
    <w:p>
      <w:r>
        <w:rPr>
          <w:b/>
        </w:rPr>
        <w:t>E. 6.5.2</w:t>
      </w:r>
    </w:p>
    <w:p>
      <w:r>
        <w:t>Compte tenu de la jurisprudence restrictive en la matière, il y a lieu de considérer que les problèmes de santé évoqués par le recourant, à les admettre,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dans ce pays (sur les possibilités de prise en charge médicale dans le domaine de l'asile en Croatie, cf. arrêts du Tribunal D-1418/2022 du 4 avril 2022 consid. 5.3.6 et D-1241/2022 du 25 mars 2022 p. 7). Le traumatisme invoqué au stade du recours et les démarches que l'intéressé aurait entreprises pour obtenir un rendez-vous chez un psychologue après son arrivée en Suisse ne sont pas étayés. Il est en outre des plus singuliers que l'intéressé n'en ait pas fait part lors de son audition. Cela suggère que ce traumatisme pourrait avoir été allégué pour les besoins de la cause, ou à tout le moins que l'intéressé en a exagéré l'importance. Il est en outre rappelé que les mauvais traitements subis en Croatie - en tous les cas de l'ampleur que tente de leur donner l'intéressé - n'ont pas été établis à satisfaction de droit et qu'en tout état de cause, le recourant ne se retrouvera pas confronté aux violences qu'il dit avoir subies en Croatie (cf. consid. 6.4 ci-dessus). Rien n'indique donc que le transfert de l'intéressé implique un risque de retraumatisation. En tout état de cause, on rappellera que la Croatie,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w:t>
      </w:r>
    </w:p>
    <w:p>
      <w:r>
        <w:t>Par conséquent, le transfert de l'intéressé vers la Croatie n'est pas contraire aux obligations découlant de dispositions conventionnelles auxquelles la Suisse est liée.</w:t>
      </w:r>
    </w:p>
    <w:p>
      <w:r>
        <w:rPr>
          <w:b/>
        </w:rPr>
        <w:t>E. 6.7</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Les demandes d'effet suspensif et de dispense d'avance des frais de procédure sont sans objet avec le présent arrêt ; les mesures superprovisionnelles ordonnées le 21 juin 2023 sont désormais caduques.</w:t>
      </w:r>
    </w:p>
    <w:p>
      <w:r>
        <w:rPr>
          <w:b/>
        </w:rPr>
        <w:t>E. 9.1</w:t>
      </w:r>
    </w:p>
    <w:p>
      <w:r>
        <w:t>Comme relevé, l'intéressé demande l'assistance judiciaire « totale », mais indique uniquement ne pas pouvoir faire face aux frais de la procédure, ne requérant pas le soutien d'un mandataire d'office. Il a d'ailleurs déposé un recours complet et ne prétend aucunement avoir été empêché d'exposer tous ses arguments. Sa demande doit donc être considérée comme une demande d'assistance judiciaire partielle. Celle-doit être rejetée, dès lors que les conclusions du recours paraissaient d'emblée vouées à l'échec, les conditions cumulatives de l'art. 65 al. 1 PA n'étant ainsi pas réalisées, indépendamment de l'indigence du recourant.</w:t>
      </w:r>
    </w:p>
    <w:p>
      <w:r>
        <w:rPr>
          <w:b/>
        </w:rPr>
        <w:t>E. 9.2</w:t>
      </w:r>
    </w:p>
    <w:p>
      <w:r>
        <w:t>Au vu de l'issue de la cause, il y a donc lieu de mettre les frais de procédure à la charge de l'intéressé,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