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E-3501/2015 vom 13. Juni 2017</w:t>
      </w:r>
    </w:p>
    <w:p>
      <w:r>
        <w:t>Bundesverwaltungsgericht, 2017-06-13, FR</w:t>
      </w:r>
    </w:p>
    <w:p>
      <w:r>
        <w:rPr>
          <w:b/>
        </w:rPr>
        <w:t xml:space="preserve">Quelle: </w:t>
      </w:r>
      <w:r>
        <w:t>https://mcp.opencaselaw.ch/entscheid/bvger_E-3501_2015</w:t>
      </w:r>
    </w:p>
    <w:p>
      <w:r>
        <w:t>FR: TAF E-3501/2015 du 13 juin 2017</w:t>
      </w:r>
    </w:p>
    <w:p>
      <w:r>
        <w:t>IT: TAF E-3501/2015 del 13 giugno 2017</w:t>
      </w:r>
    </w:p>
    <w:p>
      <w:pPr>
        <w:pStyle w:val="Heading2"/>
      </w:pPr>
      <w:r>
        <w:t>Regeste</w:t>
      </w:r>
    </w:p>
    <w:p>
      <w:r>
        <w:t>Asile (non-entrée en matière / procédure Dublin) et renvoi</w:t>
      </w:r>
    </w:p>
    <w:p>
      <w:pPr>
        <w:pStyle w:val="Heading2"/>
      </w:pPr>
      <w:r>
        <w:t>Erwägungen</w:t>
      </w:r>
    </w:p>
    <w:p>
      <w:r>
        <w:rPr>
          <w:b/>
        </w:rPr>
        <w:t>E. 1.1</w:t>
      </w:r>
    </w:p>
    <w:p>
      <w:r>
        <w:t>En vertu de l'art. 31 LTAF, et sous réserve des exceptions prévues à l'art. 32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w:t>
      </w:r>
    </w:p>
    <w:p>
      <w:r>
        <w:t>Selon l'art. 31a al. 1 let. b LAsi, le SEM n'entre pas en matière sur une demande d'asile lorsque le requérant peut se rendre dans un Etat tiers compétent, en vertu d'un accord international, pour mener la procédure d'asile et de renvoi.</w:t>
      </w:r>
    </w:p>
    <w:p>
      <w:r>
        <w:rPr>
          <w:b/>
        </w:rPr>
        <w:t>E. 2.1</w:t>
      </w:r>
    </w:p>
    <w:p>
      <w:r>
        <w:t>En l'occurrence, la Hongrie a accepté la reprise en charge des intéressés et il n'est pas contesté qu'elle est, en application des règlements Dublin II, respectivement Dublin III, l'Etat responsable de l'examen de leur demande d'asile. Il se pose en revanche, notamment, la question de savoir si, suite aux modifications importantes intervenues dans ce pays depuis l'été 2015, tant sur le plan factuel, suite à l'afflux de migrants à cette période, que législatif, il existe aujourd'hui des défaillances systémiques s'opposant à un transfert de demandeurs de protection - ou de certaines catégories d'entre eux - ou du moins si ces modifications font, dans le cas particulier, apparaître le transfert des recourants comme illicite.</w:t>
      </w:r>
    </w:p>
    <w:p>
      <w:r>
        <w:rPr>
          <w:b/>
        </w:rPr>
        <w:t>E. 2.2</w:t>
      </w:r>
    </w:p>
    <w:p>
      <w:r>
        <w:t>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2.3</w:t>
      </w:r>
    </w:p>
    <w:p>
      <w:r>
        <w:t>Au vu de ce qui précède, il s'imposerait d'annuler la décision du SEM, du 22 mai 2015, et de lui renvoyer la cause. En effet, pour les mêmes motifs que ceux exposés dans l'arrêt mentionné ci-avant, l'état de fait n'est pas suffisamment établi pour permettre de trancher, dans la présente cause, les questions précitées (existence de défaillances systémiques et licéité du transfert).</w:t>
      </w:r>
    </w:p>
    <w:p>
      <w:r>
        <w:rPr>
          <w:b/>
        </w:rPr>
        <w:t>E. 3</w:t>
      </w:r>
    </w:p>
    <w:p>
      <w:r>
        <w:t>Au regard des circonstances du cas d'espèce, le Tribunal estime cependant qu'il y a lieu de renoncer à une cassation et à un nouveau renvoi de la cause au SEM.</w:t>
      </w:r>
    </w:p>
    <w:p>
      <w:r>
        <w:rPr>
          <w:b/>
        </w:rPr>
        <w:t>E. 3.1</w:t>
      </w:r>
    </w:p>
    <w:p>
      <w:r>
        <w:t>Ainsi qu'il ressort de l'état de fait, les recourants ont déposé leurs demandes d'asile au mois de décembre 2013. La durée de la procédure a été d'abord prolongée par une première procédure de coordination, laquelle a abouti à une cassation. Elle a été compliquée, ensuite, par l'évolution de la situation sur place et les modifications législatives intervenues en Hongrie depuis l'été 2015, entraînant la nécessité d'une autre procédure de coordination, évoquée plus haut.</w:t>
      </w:r>
    </w:p>
    <w:p>
      <w:r>
        <w:rPr>
          <w:b/>
        </w:rPr>
        <w:t>E. 3.2</w:t>
      </w:r>
    </w:p>
    <w:p>
      <w:r>
        <w:t>Force est ainsi de constater, in casu, un cumul exceptionnel de circonstances (procédure particulièrement longue, cause ayant déjà fait l'objet d'une cassation). Prolonger, par une nouvelle cassation et pour une durée qu'il n'est pas possible de déterminer, cette procédure qui a déjà duré pratiquement quatre ans, conduirait à une solution juridique manifestement insoutenable au regard, notamment, du principe de célérité qui devrait présider aux procédures de détermination de l'Etat responsable. Dès lors, il ne se justifie pas de renvoyer la cause au SEM pour de nouvelles mesures d'instruction. Il s'impose, au contraire, d'inviter celui-ci à ouvrir la procédure nationale et à examiner les demandes d'asile des recourants.</w:t>
      </w:r>
    </w:p>
    <w:p>
      <w:r>
        <w:rPr>
          <w:b/>
        </w:rPr>
        <w:t>E. 4</w:t>
      </w:r>
    </w:p>
    <w:p>
      <w:r>
        <w:t>Au vu de ce qui précède, le recours est admis. Le SEM est invité à entrer en matière sur les demandes d'asile des recourants.</w:t>
      </w:r>
    </w:p>
    <w:p>
      <w:r>
        <w:rPr>
          <w:b/>
        </w:rPr>
        <w:t>E. 5.1</w:t>
      </w:r>
    </w:p>
    <w:p>
      <w:r>
        <w:t>Vu l'issue de la procédure, il n'y a pas lieu de percevoir de frais (cf. art. 63 al. 2 PA).</w:t>
      </w:r>
    </w:p>
    <w:p>
      <w:r>
        <w:rPr>
          <w:b/>
        </w:rPr>
        <w:t>E. 5.2</w:t>
      </w:r>
    </w:p>
    <w:p>
      <w:r>
        <w:t>La demande d'assistance judiciaire partielle des recourants devient ainsi sans objet.</w:t>
      </w:r>
    </w:p>
    <w:p>
      <w:r>
        <w:rPr>
          <w:b/>
        </w:rPr>
        <w:t>E. 6.1</w:t>
      </w:r>
    </w:p>
    <w:p>
      <w:r>
        <w:t>Les recourants, qui obtiennent gain de cause, ont droit à des dépens.</w:t>
      </w:r>
    </w:p>
    <w:p>
      <w:r>
        <w:rPr>
          <w:b/>
        </w:rPr>
        <w:t>E. 6.2</w:t>
      </w:r>
    </w:p>
    <w:p>
      <w:r>
        <w:t>Ceux-ci sont fixés sur la base du décompte de prestations de leur mandataire, du 2 juin 2015, et en tenant compte des interventions ultérieures de celle-ci. Ils sont arrêtés à 1'000 francs (TVA incluse).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