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E-3501/2013 vom 4. Juli 2013</w:t>
      </w:r>
    </w:p>
    <w:p>
      <w:r>
        <w:t>Bundesverwaltungsgericht, 2013-07-04, DE</w:t>
      </w:r>
    </w:p>
    <w:p>
      <w:r>
        <w:rPr>
          <w:b/>
        </w:rPr>
        <w:t xml:space="preserve">Quelle: </w:t>
      </w:r>
      <w:r>
        <w:t>https://mcp.opencaselaw.ch/entscheid/bvger_E-3501_2013</w:t>
      </w:r>
    </w:p>
    <w:p>
      <w:r>
        <w:t>FR: TAF E-3501/2013 du 4 juillet 2013</w:t>
      </w:r>
    </w:p>
    <w:p>
      <w:r>
        <w:t>IT: TAF E-3501/2013 del 4 luglio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vorliegende Verfahren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Art. 52 und 68 in der bisherigen Fassung des Asylgesetzes Geltung haben.</w:t>
      </w:r>
    </w:p>
    <w:p>
      <w:r>
        <w:rPr>
          <w:b/>
        </w:rPr>
        <w:t>E. 1.3</w:t>
      </w:r>
    </w:p>
    <w:p>
      <w:r>
        <w:t>Die Voraussetzungen für das Eintreten auf die Beschwerde sind vorliegend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Ein Asylgesuch kann gemäss Art. 19 Abs. 1 aAsylG im Ausland bei ei­ner Schweizerischen Vertretung gestellt werden, die es mit einem Be­richt an das Bundesamt überweist (Art. 20 Abs. 1 aAsylG). Nach Art. 20 Abs. 2 und 3a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 Gemäss Art. 10 Abs. 1 der Asylverordnung 1 vom 11. August 1999 über Verfahrensfragen (AsylV 1, SR 142.311) ist die asylsuchende Person im Auslandverfahren in der Regel zu befragen. Ist dies nicht möglich, so wird sie aufgefordert, ihre Asylgründe schriftlich festzuhalten (Art. 10 Abs. 2 AsylV 1). Eine Befragung kann sich erübrigen, wenn der Sachverhalt bereits aufgrund des eingereichten Asylgesuchs entscheidreif erstellt ist; der asylsuchenden Person ist aber diesfalls das rechtliche Gehör zum absehbaren negativen Entscheid zu gewähren (vgl. BVGE 2007/30 E. 5.7 f.).</w:t>
      </w:r>
    </w:p>
    <w:p>
      <w:r>
        <w:rPr>
          <w:b/>
        </w:rPr>
        <w:t>E. 4.2</w:t>
      </w:r>
    </w:p>
    <w:p>
      <w:r>
        <w:t>Vorliegend führte das BFM zwar keine Befragung durch, hat diesem Umstand aber in seinem Schreiben vom 24. März 2011 Rechnung getragen, den Verzicht auf eine Befragung in rechtsgenüglicher Weise begründet, die Beschwerdeführerin auf ihre Mitwirkungspflicht aufmerksam gemacht und ihr vorgängig das rechtliche Gehör zu einem allfälligen negativen Verfahrensausgang gewährt. Mit dieser Vorgehensweise hat das Bundesamt den Anforderungen an die Feststellung des rechtserheblichen Sachverhalts Genüge getan.</w:t>
      </w:r>
    </w:p>
    <w:p>
      <w:r>
        <w:rPr>
          <w:b/>
        </w:rPr>
        <w:t>E. 5.1</w:t>
      </w:r>
    </w:p>
    <w:p>
      <w:r>
        <w:t>Gemäss Art. 2 Abs. 1 AsylG wird als Flüchtling anerkannt, wer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Nach Art. 52 Abs. 2a AsylG kann einer Person, die sich im Ausland befindet, das Asyl verweigert werden, wenn es ihr zugemutet werden kann, sich in einem anderen Staat um Aufnahme zu bemühen.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BVGE 2011/10 E. 3.3 S. 126).</w:t>
      </w:r>
    </w:p>
    <w:p>
      <w:r>
        <w:rPr>
          <w:b/>
        </w:rPr>
        <w:t>E. 6.1</w:t>
      </w:r>
    </w:p>
    <w:p>
      <w:r>
        <w:t>Das BFM begründete seinen ablehnenden Entscheid damit, dass die Bewilligung der Einreise in die Schweiz nicht dem Ausgleich vergangenen Unrechts diene, sondern ausschliesslich dem Schutz vor aktueller Verfolgung. Die letzten Indizien für eine Verfolgung seitens der von der Beschwerdeführerin erwähnten unbekannten Personen, welche zwei ihrer Söhne entführt haben sollen, würden von (...) datieren. Als sie aufgefordert worden sei, zur Einschätzung des BFM, wonach sie über kein Risikoprofil verfüge, Stellung zu nehmen, habe sie dies unterlassen und keine Hinweise für ein Fortbestehen der geltend gemachten Verfolgung genannt. In Ermangelung aktueller Indizien für eine Verfolgung durch die sri-lankische Armee oder unbekannte Dritte sei nicht davon auszugehen, dass eine solche gegenwärtig vorliege oder sich in absehbarer Zukunft verwirklichen werde. Bei offensichtlich fehlender Schutzbedürftigkeit könne darauf verzichtet werden, auf allfällige Unglaubhaftigkeitselemente in ihren Ausführungen einzugehen. Die geltend gemachten Vorbringen seien nicht einreiserelevant. Deshalb sei das Asylgesuch abzulehnen und die Einreise in die Schweiz nicht zu bewilligen.</w:t>
      </w:r>
    </w:p>
    <w:p>
      <w:r>
        <w:rPr>
          <w:b/>
        </w:rPr>
        <w:t>E. 6.2</w:t>
      </w:r>
    </w:p>
    <w:p>
      <w:r>
        <w:t>Die Beschwerdeführerin beschränkte sich in ihrer Rechtsmitteleingabe im Wesentlichen auf die im Schreiben vom 18. Mai 2009 genannten Punkte. Auf die Erwägungen der Vorinstanz nahm sie nicht Bezug und sie machte keinerlei Ausführungen zu ihrer aktuellen Situation.</w:t>
      </w:r>
    </w:p>
    <w:p>
      <w:r>
        <w:rPr>
          <w:b/>
        </w:rPr>
        <w:t>E. 6.3</w:t>
      </w:r>
    </w:p>
    <w:p>
      <w:r>
        <w:t>Das Bundesverwaltungsgericht gelangt nach Prüfung der Akten übereinstimmend mit dem BFM zum Schluss, dass die Beschwerdeführerin kein Gefährdungsprofil aufweist, welches im heutigen Zeitpunkt mit erheblicher Wahrscheinlichkeit auf eine Verfolgung im Sinne von Art. 3 Abs. 1 AsylG schliessen liesse. Die geltend gemachte Entführung der zwei jüngeren Söhne ist zwar ein tragisches Ereignis im Leben der Beschwerdeführerin, eine konkrete Gefährdung ihrer eigenen Person macht sie jedoch nicht geltend. Zur Aktualität der vorgebrachten Verfolgung nimmt sie in der Beschwerde nicht Stellung, und auch zum weiteren Verlauf der Suche nach den Söhnen macht sie keine Angaben. Ihre Ausführungen sind oberflächlich und vage, Hinweise auf eine aktuelle Verfolgung sind keine ersichtlich. Die erwähnten Vorfälle aus den Jahren (...) stehen zeitlich in keinem Zusammenhang mit den Asylvorbringen und sind daher nicht asylrelevant. Die Vorbringen in der Rechtsmitteleingabe sind damit nicht geeignet, eine Änderung der angefochtenen Verfügung zu bewirken. Eine Auseinandersetzung mit der vorinstanzlichen Argumentation unterbleibt, und nähere Hinweise oder Aufschlüsse für eine relevante Gefährdungssituation fehlen. Es ist daher nicht von der Schutzbedürftigkeit der Beschwerdeführerin auszugehen. Angesichts dieser Sachlage erübrigen sich weitere Erwägungen.</w:t>
      </w:r>
    </w:p>
    <w:p>
      <w:r>
        <w:rPr>
          <w:b/>
        </w:rPr>
        <w:t>E. 6.4</w:t>
      </w:r>
    </w:p>
    <w:p>
      <w:r>
        <w:t>Zusammenfassend ist festzustellen, dass die Beschwerdeführerin kei­ne Ver­folgung im Sinne von Art. 3 AsylG darzutun vermochte. Das BFM hat daher zu Recht der Beschwerdeführerin die Einreise in die Schweiz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wären dessen Kosten grundsätzlich der Beschwerdeführerin aufzuerlegen (Art. 63 Abs. 1 VwVG). Aus verwaltungsökonomischen Gründen ist indessen in Anwendung von Art. 63 Abs. 1 in fine VwVG und Art. 2 sowie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