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E-3499/2023 vom 28. Juni 2023</w:t>
      </w:r>
    </w:p>
    <w:p>
      <w:r>
        <w:t>Bundesverwaltungsgericht, 2023-06-28, DE</w:t>
      </w:r>
    </w:p>
    <w:p>
      <w:r>
        <w:rPr>
          <w:b/>
        </w:rPr>
        <w:t xml:space="preserve">Quelle: </w:t>
      </w:r>
      <w:r>
        <w:t>https://mcp.opencaselaw.ch/entscheid/bvger_E-3499_2023</w:t>
      </w:r>
    </w:p>
    <w:p>
      <w:r>
        <w:t>FR: TAF E-3499/2023 du 28 juin 2023</w:t>
      </w:r>
    </w:p>
    <w:p>
      <w:r>
        <w:t>IT: TAF E-3499/2023 del 28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In formeller Hinsicht rügt die Beschwerdeführerin, die Vorinstanz habe den Sachverhalt nicht vollständig abgeklärt. Sie habe die aktuelle Situation alleinstehender Frauen im italienischen Asylsystem nicht analysiert. Ausserdem rügt sie eine Verletzung der Begründungspflicht durch das SEM, welches sich auf ein Urteil aus dem letzten Jahr gestützt habe, um die aktuelle Situation in Italien zu beurteilen. Diese Rügen sind vorab zu beurteilen, da sie allenfalls geeignet wären, eine Kassation der vorinstanzlichen Verfügung zu bewirken.</w:t>
      </w:r>
    </w:p>
    <w:p>
      <w:r>
        <w:rPr>
          <w:b/>
        </w:rPr>
        <w:t>E. 4.2</w:t>
      </w:r>
    </w:p>
    <w:p>
      <w:r>
        <w:t>Die Sachverhaltsfeststellung ist unvollständig, wenn nicht alle für den Entscheid rechtswesentlichen Sachumstände berücksichtigt werden (vgl. Kölz/Häner/Bertschi, Verwaltungsverfahren und Verwaltungsrechtspflege des Bundes, 3. Aufl. 2013, Rz. 1043). Die Vorinstanz hat die gesamten Akten sowie sämtliche von der Beschwerdeführerin anlässlich des Dublin-Gesprächs vorgebrachten Sachumstände in ihrer Entscheidfindung berücksichtigt. Der Umstand, dass es sich bei der Beschwerdeführerin um eine alleinstehende Frau handelt, stellt für sich genommen noch keine (besondere) Vulnerabilität dar, weshalb auf weitergehende Abklärungen bezüglich der Situation von alleinstehenden Frauen im italienischen Asylsystem verzichtet werden konnte. Dass die Beschwerdeführerin diesbezüglich eine andere Auffassung vertritt, begründet noch keine Verletzung verfahrensrechtlicher Vorschriften. Es ist sodann auch in keiner anderen Hinsicht ersichtlich, dass der Sachverhalt mangelhaft erstellt worden wäre. Mithin ist die Feststellung des Sachverhaltes rechtskonform erfolgt.</w:t>
      </w:r>
    </w:p>
    <w:p>
      <w:r>
        <w:rPr>
          <w:b/>
        </w:rPr>
        <w:t>E. 4.3</w:t>
      </w:r>
    </w:p>
    <w:p>
      <w:r>
        <w:t>Die Begründungspflicht dient dazu, der Partei die für den Entscheid massgebenden Umstände zur Kenntnis zu bringen, damit sie sich ein Bild über die Tragweite machen, ihn auf seine Richtigkeit hin überprüfen und gegebenenfalls sachgemäss anfechten kann (vgl. BGE 141 IV 244 E. 1.2.1). Soweit die Beschwerdeführerin vorbringt, die Vorinstanz verletze die Begründungspflicht, wenn sie auf ein Urteil aus dem Jahr 2022 abstelle, betrifft dies die rechtliche Würdigung, mithin die Praxis der rechtsanwendenden Behörde, und stellt keine formelle Rüge dar. Auf die entsprechende Rüge wird unter den materiellen Erwägungen (E.6.2) eingegangen. Im Übrigen ist festzustellen, dass die Vorinstanz in der angefochtenen Verfügung ausführlich dargelegt hat, von welchen Überlegungen und Rechtsgrundlagen sie sich hat leiten lassen, so dass es der Beschwerdeführerin denn auch offensichtlich möglich war, diese anzufechten.</w:t>
      </w:r>
    </w:p>
    <w:p>
      <w:r>
        <w:rPr>
          <w:b/>
        </w:rPr>
        <w:t>E. 4.4</w:t>
      </w:r>
    </w:p>
    <w:p>
      <w:r>
        <w:t>Die formellen Rügen erweisen sich nach dem Gesagten als unbegründet. Der Eventualantrag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 wie vorliegend - sind die in Kapitel III (Art. 8-15 Dublin-III-VO) genannten Kriterien in der dort aufgeführten Rangfolge (Prinzip der Hierarchie der Zuständigkeitskriterien; vgl. Art. 7 Abs. 1 Dublin-III-VO) anzuwenden.</w:t>
      </w:r>
    </w:p>
    <w:p>
      <w:r>
        <w:rPr>
          <w:b/>
        </w:rPr>
        <w:t>E. 5.3</w:t>
      </w:r>
    </w:p>
    <w:p>
      <w:r>
        <w:t>Vorliegend ist unbestritten, dass die Beschwerdeführerin am 31. Dezember 2022 in Italien illegal in das Hoheitsgebiet der Dublin-Staaten eingereist ist. Die italienischen Behörden stimmten dem Ersuchen um Übernahme der Beschwerdeführerin gestützt auf Art. 13 Abs. 1 Dublin-III-VO denn auch zu. Vor diesem Hintergrund ist die grundsätzliche Zuständigkeit Italiens zur Durchführung des Asyl- und Wegweisungsverfahrens gegeben. Dies wird in der Beschwerde nicht in Frage gezogen.</w:t>
      </w:r>
    </w:p>
    <w:p>
      <w:r>
        <w:rPr>
          <w:b/>
        </w:rPr>
        <w:t>E. 6.1</w:t>
      </w:r>
    </w:p>
    <w:p>
      <w:r>
        <w:t>Erweist es sich als unmöglich, eine Antragstellerin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Das Bundesverwaltungsgericht geht in ständiger Rechtsprechung davon aus, dass das italienische Asylsystem - trotz punktueller Schwachstellen - keine systemischen Mängel im Sinne von Art. 3 Abs. 2 zweiter Satz Dublin-III-VO aufweist (vgl. zuletzt Urteile E-5608/2022 vom 31. Mai 2023 E. 12. 3 f.; D-994/2023 vom 23. Februar 2023 E. 4.3). Die Vorinstanz hat sich in der angefochtenen Verfügung auf das diesbezüglich zuletzt ergangene Referenzurteil D-4235/2021 vom 19. April 2022 gestützt. Bei Referenzurteilen handelt es sich - auch für das SEM - um wegweisende Urteile des Bundesverwaltungsgerichts, von denen in der Regel nicht abgewichen wird. Dass sich die Vorinstanz daher auf das genannte Urteil gestützt hat, auch wenn es im Jahr 2022 ergangen ist, ist nicht zu beanstanden. An der erwähnten Rechtsprechung ist festzuhalten. Eine Anwendung von Art. 3 Abs. 2 Dublin-III-VO erweist sich demnach als nicht gerechtfertigt.</w:t>
      </w:r>
    </w:p>
    <w:p>
      <w:r>
        <w:rPr>
          <w:b/>
        </w:rPr>
        <w:t>E. 6.3</w:t>
      </w:r>
    </w:p>
    <w:p>
      <w:r>
        <w:t>An dieser Einschätzung vermag auch der aktuelle Übernahmestopp seitens der italienischen Behörden nichts zu ändern, zumal es sich dabei erklärtermassen um ein temporäres Überstellungshindernis handelt, das mithin einzig den Zeitpunkt der Überstellung und nicht die Rechtsstellung der Asylsuchenden betrifft und welchem ihm Rahmen der Vollzugsmodalitäten Rechnung zu tragen ist (vgl. Urteil des BVGer E-317/2022 vom 10. Februar 2023 E. 7.3.4).</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Bei der Beurteilung des Selbsteintritts gilt es zu beachten,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Ferner ist Italien durch die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gebunden.</w:t>
      </w:r>
    </w:p>
    <w:p>
      <w:r>
        <w:rPr>
          <w:b/>
        </w:rPr>
        <w:t>E. 7.3</w:t>
      </w:r>
    </w:p>
    <w:p>
      <w:r>
        <w:t>Den Akten sind keine Hinweise zu entnehmen, Italien werde im Fall der alleinstehenden Beschwerdeführerin den Grundsatz des Non-Refoulement missachten und sie zur Ausreise in ein Land zwingen, in dem ihr Leib, Leben oder ihre Freiheit aus einem Grund nach Art. 3 Abs. 1 AsylG gefährdet ist oder in dem sie Gefahr laufen würde, zur Ausreise in ein solches Land gezwungen zu werden. Die Beschwerdeführerin hat weiter auch nicht dargetan, dass die sie bei einer Rückführung zu erwartenden Bedingungen in Italien derart schlecht seien, dass sie zu einer Verletzung von Art. 4 der EU-Grundrechtecharta, Art. 3 EMRK oder Art. 3 FoK führen könnten. Die Vermutung, Italien halte seine völkerrechtlichen Verpflichtungen ein, kann im Einzelfall zwar widerlegt werden. Hierfür bedarf es aber konkreter und ernsthafter Hinweise. Dies gelingt der Beschwerdeführerin, die in Italien gar nicht erst um Asyl nachgesucht, sondern sich lediglich wenige Tage dort illegal aufgehalten hat, mit ihren pauschalen Äusserungen zu den dortigen Lebensbedingungen indes nicht. Bei fehlbarem Verhalten der italienischen Beamten oder Drittpersonen kann sie sich im Übrigen im funktionierenden Rechtsstaat Italien an die zuständigen Behörden wenden und ihre Rechte gegebenenfalls auf dem Rechtsweg einfordern.</w:t>
      </w:r>
    </w:p>
    <w:p>
      <w:r>
        <w:rPr>
          <w:b/>
        </w:rPr>
        <w:t>E. 7.4</w:t>
      </w:r>
    </w:p>
    <w:p>
      <w:r>
        <w:t>Nach dem Gesagten besteht kein Grund für eine Anwendung der Ermessensklausel von Art. 17 Dublin-III-VO.</w:t>
      </w:r>
    </w:p>
    <w:p>
      <w:r>
        <w:rPr>
          <w:b/>
        </w:rPr>
        <w:t>E. 8</w:t>
      </w:r>
    </w:p>
    <w:p>
      <w:r>
        <w:t>Aus den vorstehenden Erwägungen ergibt sich, dass die angefochtene Verfügung Bundesrecht nicht verletzt und den rechtserheblichen Sachverhalt richtig sowie vollständig feststellt (Art. 106 Abs. 1 AsylG). Die Beschwerde ist abzuweisen.</w:t>
      </w:r>
    </w:p>
    <w:p>
      <w:r>
        <w:rPr>
          <w:b/>
        </w:rPr>
        <w:t>E. 9</w:t>
      </w:r>
    </w:p>
    <w:p>
      <w:r>
        <w:t>Das Gesuch um Gewährung der unentgeltlichen Prozessführung ist abzuweisen, da sich die Rechtsbegehren als aussichtslos darstellten (Art. 65 Abs. 1 VwVG). Bei diesem Ausgang des Verfahrens sind die Verfahrenskosten dem Beschwerdeführer aufzuerlegen (Art. 63 Abs. 1 VwVG) und auf Fr. 750.- festzusetzen (Art. 1 3 des Reglements vom 21. Februar 2008 über die Kosten und Entschädigungen vor dem Bundesverwaltungsgericht [VGKE, SR 173.320.2]).</w:t>
      </w:r>
    </w:p>
    <w:p>
      <w:r>
        <w:rPr>
          <w:b/>
        </w:rPr>
        <w:t>E. 10</w:t>
      </w:r>
    </w:p>
    <w:p>
      <w:r>
        <w:t>Die Anträge auf Erteilung der aufschiebenden Wirkung und auf Befreiung von der Kostenvorschusspflicht erweisen sich mit dem vorliegenden Entscheid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