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E-3491/2025 vom 6. Mai 2025</w:t>
      </w:r>
    </w:p>
    <w:p>
      <w:r>
        <w:t>Bundesverwaltungsgericht, 2025-05-06, DE</w:t>
      </w:r>
    </w:p>
    <w:p>
      <w:r>
        <w:rPr>
          <w:b/>
        </w:rPr>
        <w:t xml:space="preserve">Quelle: </w:t>
      </w:r>
      <w:r>
        <w:t>https://mcp.opencaselaw.ch/entscheid/bvger_E-3491_2025_d20250506</w:t>
      </w:r>
    </w:p>
    <w:p>
      <w:r>
        <w:t>FR: TAF E-3491/2025 du 6 mai 2025</w:t>
      </w:r>
    </w:p>
    <w:p>
      <w:r>
        <w:t>IT: TAF E-3491/2025 del 6 maggio 2025</w:t>
      </w:r>
    </w:p>
    <w:p>
      <w:pPr>
        <w:pStyle w:val="Heading2"/>
      </w:pPr>
      <w:r>
        <w:t>Regeste</w:t>
      </w:r>
    </w:p>
    <w:p>
      <w:r>
        <w:t>Flughafenverfahren (Asyl und Wegweisung) | Flughafenverfahren (Asyl und Wegweisung); Verfügung des SEM vom 6.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Auf die frist- und formgerecht eingereichte Beschwerde des zu deren Einreichung legitimierten Beschwerdeführers ist einzutreten (Art. 105 und Art. 108 Abs. 3 AsylG; Art. 48 Abs. 1 sowie Art. 52 Abs. 1 VwVG).</w:t>
      </w:r>
    </w:p>
    <w:p>
      <w:r>
        <w:rPr>
          <w:b/>
        </w:rPr>
        <w:t>E. 1.3</w:t>
      </w:r>
    </w:p>
    <w:p>
      <w:r>
        <w:t>Die Rechtsbegehren sowie deren Begründung in der Beschwerde be- schränken sich auf den Vollzugspunkt. Die Dispositivziffern 1 und 2 der angefochtenen Verfügung (Verneinung der Flüchtlingseigenschaft und Ab- lehnung des Asylgesuchs) sind mangels eines diesbezüglich erkennbaren Beschwerdewillens unangefochten in Rechtskraft erwachsen und daher nicht Gegenstand des Beschwerdeverfahrens.</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wird, handelt es sich vorliegend um ein solches Rechtsmittel, weshalb das Urteil nur summa- risch zu begründen ist (Art. 111a Abs. 2 AsylG). Gestützt auf Art. 111a Abs. 1 AsylG wurde auf die Durchführung eines Schriftenwechsels verzich- tet.</w:t>
      </w:r>
    </w:p>
    <w:p>
      <w:r>
        <w:rPr>
          <w:b/>
        </w:rPr>
        <w:t>E. 4.1</w:t>
      </w:r>
    </w:p>
    <w:p>
      <w:r>
        <w:t>In der Beschwerde werden verschiedene formelle Rügen erhoben. Nach Ansicht des Beschwerdeführers hat die Vorinstanz weder seinen An- trag vom 29. April 2025, den Arztbericht der C._______ vom (…) 2025, noch die Stellungnahme zum Entscheidentwurf im übermittelten</w:t>
      </w:r>
    </w:p>
    <w:p>
      <w:r>
        <w:t>E-3491/2025 Seite 5 Aktenverzeichnis ausgewiesen und damit ihre Aktenführungspflicht ver- letzt. Sodann seien die Arztberichte vom (…) 2025 und (…) 2025 in der angefochtenen Verfügung weder erwähnt noch gewürdigt worden. Schliesslich sei der medizinische Sachverhalt hinsichtlich seiner psychi- schen Erkrankung nicht rechtsgenügend abgeklärt worden. Daraus resul- tiere eine Verletzung des rechtlichen Gehörs.</w:t>
      </w:r>
    </w:p>
    <w:p>
      <w:r>
        <w:rPr>
          <w:b/>
        </w:rPr>
        <w:t>E. 4.2</w:t>
      </w:r>
    </w:p>
    <w:p>
      <w:r>
        <w:t>Es ist zunächst festzustellen, dass das dem Rechtsvertreter mit dem Asylentscheid am 6. Mai 2025 zugestellte Aktenverzeichnis tatsächlich un- vollständig war und die ab dem 28. April 2025 eingegangenen respektive erstellten Akten- und Schriftstücke (insb. der mit Eingabe vom 29. April 2025 eingereichte Arztbericht vom […] 2025 [vgl. vorinstanzliche Akten {…}-23/3; nachfolgend: act. 23], die Stellungnahme zum Entscheidentwurf vom 5. Mai 2025 [vgl. act. 28], der Arztbericht vom {…} 2025 [vgl. act. 30]) noch nicht paginiert waren (vgl. Beschwerdebeilage 8, datierend vom 1. Mai 2025). Entgegen der Ansicht des Beschwerdeführers wurde jedoch der Arztbericht vom (…) 2025 im angefochtenen Entscheid berücksichtigt. Das SEM nahm ausdrücklich Bezug auf «eine erste psychiatrische Über- prüfung am Flughafen Zürich» (vgl. a.a.O. E. III/2.b) und bezog sich damit offenkundig auf den Bericht der C._______ vom (…) 2025. Damit fand die ärztliche Beurteilung vom (…) 2025 mit den Diagnosen «(…)» und «(…)» Eingang in die vorinstanzliche Würdigung. Aufgrund der Ausführungen des Rechtsvertreters in seiner Stellungnahme zum Entscheidentwurf vom</w:t>
      </w:r>
    </w:p>
    <w:p>
      <w:r>
        <w:rPr>
          <w:b/>
        </w:rPr>
        <w:t>E. 4.3</w:t>
      </w:r>
    </w:p>
    <w:p>
      <w:r>
        <w:t>Nach dem Ausgeführten sind die formellen Rügen nicht zu bestätigen. Eine Rückweisung der Sache an die Vorinstanz ist daher nicht angezeigt. Das Gericht entscheidet in der vorliegenden Sache materiell.</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w:t>
      </w:r>
    </w:p>
    <w:p>
      <w:r>
        <w:t>E-3491/2025 Seite 7 erniedrigende Behandlung oder Strafe (FoK, SR 0.105) und der Praxis zu Art. 3 EMRK darf niemand der Folter oder unmenschlicher oder erniedri- gender Strafe oder Behandlung unterworfen werden.</w:t>
      </w:r>
    </w:p>
    <w:p>
      <w:r>
        <w:rPr>
          <w:b/>
        </w:rPr>
        <w:t>E. 6.2.2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 scheinen. Insbesondere lassen sich auch aus dem Gesundheitszustand des Beschwerdeführers keine völkerrechtlichen Vollzugshindernisse ablei- ten – die gesundheitlichen Beschwerden erreichen nicht die Schwelle der notwendigen Schwere für eine Verletzung von Art. 3 EMRK (vgl. Urteil des Europäischen Gerichtshofs für Menschenrechte [EGMR] Paposhvili gegen Belgien 13. Dezember 2016, Grosse Kammer 41738/10, §§ 180–193 m.w.H.; BVGE 2017 VI/7 E. 6.2).</w:t>
      </w:r>
    </w:p>
    <w:p>
      <w:r>
        <w:rPr>
          <w:b/>
        </w:rPr>
        <w:t>E. 6.2.3</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Marokko herrscht kein Krieg, Bürgerkrieg oder eine Situation all- gemeiner Gewalt, aufgrund derer die Zivilbevölkerung als konkret</w:t>
      </w:r>
    </w:p>
    <w:p>
      <w:r>
        <w:t>E-3491/2025 Seite 8 gefährdet bezeichnet werden müsste. Der Wegweisungsvollzug dorthin ist daher grundsätzlich zumutbar (vgl. Urteil des BVGer E-2757/2024 vom 16. Mai 2024 E. 8.3.2 m.w.H.).</w:t>
      </w:r>
    </w:p>
    <w:p>
      <w:r>
        <w:rPr>
          <w:b/>
        </w:rPr>
        <w:t>E. 6.3.3</w:t>
      </w:r>
    </w:p>
    <w:p>
      <w:r>
        <w:t>Gemäss Praxis des Bundesverwaltungsgerichts kann nur dann aus medizinischen Gründen auf Unzumutbarkeit des Wegweisungsvollzugs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nicht bereits dann vor, wenn im Heimat- oder Herkunftsstaat nicht eine dem hohen schweizerischen Standard entsprechende medizini- sche Behandlung möglich ist (vgl. BVGE 2009/2 E. 9.3.2).</w:t>
      </w:r>
    </w:p>
    <w:p>
      <w:r>
        <w:rPr>
          <w:b/>
        </w:rPr>
        <w:t>E. 6.3.4</w:t>
      </w:r>
    </w:p>
    <w:p>
      <w:r>
        <w:t>In Ermangelung konkreter materieller Beschwerdevorbringen respek- tive einer Auseinandersetzung mit den Ausführungen der Vorinstanz in der Beschwerde (vgl. a.a.O. Ziff. 5) kann zur Vermeidung von Wiederholungen vollumfänglich auf die zutreffenden Erwägungen in der angefochtenen Ver- fügung verwiesen werden (vgl. a.a.O. E. III/2 m.w.H.). Die mit der Be- schwerde geltend gemachte Verschlechterung des psychischen Zustands im Falle einer Wegweisung aufgrund der angeblich anhaltenden Drohun- gen seiner Angreifer führt angesichts der in Marokko vorhandenen und zu- gänglichen Behandlungs- und Schutzmöglichkeiten nicht zur Annahme der Unzumutbarkeit des Vollzugs der Wegweisung. Es liegen keine Hinweise vor, dass die gesundheitlichen Beschwerden des Beschwerdeführers zwin- gend in der Schweiz behandelt werden müssten. Dem Risiko einer allfälli- gen, mit dem Vollzug der Wegweisung einhergehenden Verschlechterung des Gesundheitszustands, namentlich einer allenfalls auftretenden Suizi- dalität, kann im Rahmen der Vollzugsmodalitäten sowie bei Bedarf mit in- dividueller Rückkehrhilfe Rechnung getragen werden (vgl. Urteil des BVGer E-5116/2023 vom 11. Dezember 2023 E. 6.2.2 m.w.H.). Es ist so- dann nicht ersichtlich, inwiefern der in Aussicht gestellte Bericht über die psychiatrische Untersuchung vom (…) 2025 schwerwiegendere psychi- sche Probleme als die bereits bekannten zutage fördern könnte, weshalb dessen Einreichung in antizipierter Beweiswürdigung nicht abzuwarten ist.</w:t>
      </w:r>
    </w:p>
    <w:p>
      <w:r>
        <w:rPr>
          <w:b/>
        </w:rPr>
        <w:t>E. 6.3.5</w:t>
      </w:r>
    </w:p>
    <w:p>
      <w:r>
        <w:t>Nach dem Gesagten erweist sich der Vollzug der Wegweisung auch als zumutbar.</w:t>
      </w:r>
    </w:p>
    <w:p>
      <w:r>
        <w:t>E-3491/2025 Seite 9</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(Art. 49 VwVG). Die Beschwerde ist abzuweisen.</w:t>
      </w:r>
    </w:p>
    <w:p>
      <w:r>
        <w:rPr>
          <w:b/>
        </w:rPr>
        <w:t>E. 8.1</w:t>
      </w:r>
    </w:p>
    <w:p>
      <w:r>
        <w:t>Angesichts der aus den vorstehenden Erwägungen hervorgehenden Aussichtslosigkeit der Beschwerde ist das Gesuch um Gewährung der un- entgeltlichen Prozessführung ungeachtet der behaupteten Prozessarmut des Beschwerdeführers abzuweisen. Das Gesuch um Verzicht auf die Er- hebung eines Kostenvorschusses ist mit dem vorliegenden Urteil in der Sache hinfällig.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E-3491/2025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