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E-3491/2019 vom 12. Oktober 2020</w:t>
      </w:r>
    </w:p>
    <w:p>
      <w:r>
        <w:t>Bundesverwaltungsgericht, 2020-10-12, DE</w:t>
      </w:r>
    </w:p>
    <w:p>
      <w:r>
        <w:rPr>
          <w:b/>
        </w:rPr>
        <w:t xml:space="preserve">Quelle: </w:t>
      </w:r>
      <w:r>
        <w:t>https://mcp.opencaselaw.ch/entscheid/bvger_E-3491_2019</w:t>
      </w:r>
    </w:p>
    <w:p>
      <w:r>
        <w:t>FR: TAF E-3491/2019 du 12 octobre 2020</w:t>
      </w:r>
    </w:p>
    <w:p>
      <w:r>
        <w:t>IT: TAF E-3491/2019 del 12 ottobre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so auch vorliegend, endgültig (Art. 105 AsylG [SR 142.31]; Art. 83 Bst. d Ziff. 1 BGG).</w:t>
      </w:r>
    </w:p>
    <w:p>
      <w:r>
        <w:rPr>
          <w:b/>
        </w:rPr>
        <w:t>E. 1.2</w:t>
      </w:r>
    </w:p>
    <w:p>
      <w:r>
        <w:t>Das Verfahren richtet sich nach dem VwVG, soweit das VGG und das AsylG nichts anderes bestimmen (Art. 37 VGG,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Der Beschwerdeführer ist knapp (...)-jährig und damit unmündig. Seine Prozessfähigkeit ist vorab als Sachurteilsvoraussetzung von Amtes wegen zu prüfen (vgl. zu den nachfolgenden Ausführungen Urteile des BVGer D-770/2014 vom 17. Juni 2014 E. 2.1, D-5595/2014 vom 23. März 2015 E. 1.3). Als verfahrensrechtliches Korrelat der Handlungsfähigkeit ist die Prozessfähigkeit nach den einschlägigen zivilrechtlichen Vorschriften zu beurteilen (vgl. Entscheidungen und Mitteilungen der Schweizerischen Asylrekurskommission [EMARK] 1996 Nr. 3 E. 2b). Sie setzt demnach Urteilsfähigkeit, Mündigkeit und das Fehlen von die Handlungsfähigkeit einschränkenden Massnahmen des Erwachsenenschutzes voraus (Art. 13, 17 und 19d ZGB). Urteilsfähig ist jeder, dem es nicht wegen seines Kindesalters oder infolge anderer Umstände an der Fähigkeit mangelt, vernunftgemäss zu handeln (Art. 16 ZGB). Urteilsfähige Unmündige können sich zwar grundsätzlich nur mit der Zustimmung ihrer gesetzlichen Vertreter durch ihre Handlungen verpflichten (Art. 19 Abs. 1 ZGB); ohne diese Zustimmung vermögen sie nur Rechte auszuüben, welche ihnen um ihrer Persönlichkeit willen zustehen (Art. 19c ZGB). Nach Lehre und Praxis gelten sowohl die Einreichung eines Asylgesuchs als auch die Ergreifung von in diesem Kontext stehenden Rechtsmitteln als solche «höchst-persönliche» Rechte (vgl. BVGE 2011/39 E. 4.3.2). Den Akten sind keine Anhaltspunkte zu entnehmen, die zu Zweifeln an der Urteilsfähigkeit des Beschwerdeführers in Bezug auf das Einreichen des Asylgesuches, das Vortragen seiner Asylvorbringen oder auf die Erhebung der Beschwerde Anlass geben würden. Die Befragungsprotokolle vermitteln durchwegs den Eindruck, der Beschwerdeführer sei sich über den Gehalt der an ihn gerichteten Fragen im Klaren gewesen, habe sachbezogen geantwortet und sich bei der Darlegung der Asylgründe sowie seiner persönlichen Verhältnisse jederzeit von vernünftigen Überlegungen leiten lassen. Es ist somit von der Urteilsfähigkeit und damit von der Prozessfähigkeit des Beschwerdeführers im Zeitpunkt der Beschwerdeeinreichung auszugehen.</w:t>
      </w:r>
    </w:p>
    <w:p>
      <w:r>
        <w:rPr>
          <w:b/>
        </w:rPr>
        <w:t>E. 1.5</w:t>
      </w:r>
    </w:p>
    <w:p>
      <w:r>
        <w:t>Ferner ist die Beschwerde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unter Vorbehalt der nachfolgenden Erwägung einzutreten. Nicht einzutreten ist auf den Eventualantrag betreffend Wiederherstellung der aufschiebenden Wirkung der Beschwerde. Aufschiebende Wirkung kommt der Beschwerde von Gesetzes wegen zu (Art. 55 Abs. 1 VwVG) und sie ist von der Vorinstanz auch nicht im Sinne von Art. 55 Abs. 2 VwVG entzogen worden.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Im Asylverfahren gelten besondere Verfahrensgarantien für unbegleitete minderjährige Asylsuchende (vgl. Art. 17 AsylG, Art. 7 der Asylverordnung 1 vom 11. August 1999 [AsylV 1, SR 142.311]; vgl. Entscheide des BVGer E-7447/2015 vom 5. November 2018 E. 5.3, D-7700/2015 vom 22. August 2016 E. 6.2, je m.w.H.). Diese Garantien sind im vorliegenden Verfahren eingehalten worden. Die zuständigen kantonalen Behörden haben für den Beschwerdeführer eine Beiständin ernannt; diese war bei der Anhörung zu den Asylgründen anwesend. Die Anhörung vom 14. Mai 2019 wurde, soweit aus den Akten ersichtlich, in einer altersgerechten Weise durchgeführt; dem Beschwerdeführer wurden alle anwesenden Personen vorgestellt und deren Funktion wurde ihm erläutert. Die SEM-Sachbearbeiterin stellte die Fragen in einer dem Alter des Beschwerdeführers angepassten Weise. Aus dem Protokoll geht nicht hervor, dass in irgendeiner Form eine angespannte, überfordernde oder unangenehme Atmosphäre geherrscht hätte; weder die Beiständin noch die bei der Befragung anwesende Hilfswerkvertreterin haben denn auch entsprechende Bemerkungen angebracht. Auch in der Beschwerde werden keine Vorbehalte gegen die korrekte Durchführung des vorinstanzlichen Verfahrens angebracht. Schliesslich wurde die angefochtene Verfügung korrekt der Beiständin des Beschwerdeführers eröffnet.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würdigte die Asylvorbringen des Beschwerdeführers als nicht glaubhaft gemacht. Es scheine realitätsfremd, dass jene Männer, deren Tat der Beschwerdeführer beobachtet habe, sich regelmässig bei ihm zu Hause gemeldet hätten, um ihn und seine Eltern zu bedrohen. Mit einem derartigen Verhalten hätten sich die Täter vielmehr immer wieder neu zu erkennen gegeben und sich identifizierbar gemacht; auch sei nicht nachvollziehbar, wieso die Drohungen derart oft hätten wiederholt werden sollen, nachdem sich die Familie nie an die Polizei gewandt habe. Dies wiederum erscheine ebenfalls nicht plausibel; dass man, anstatt sich an die Behörden zu wenden, sofort die Ausreise des Beschwerdeführers beschlossen habe, sei nicht nachvollziehbar, umso mehr, als dem Beschwerdeführer innerhalb des Landes, etwa in H._______ oder in Colombo, Aufenthaltsalternativen bei Verwandten zur Verfügung gestanden wären. Die Schilderungen des Beschwerdeführers seien knapp und eher oberflächlich ausgefallen und würden keine persönliche Färbung aufweisen; auch in Berücksichtigung seines jungen Alters hätten substantiiertere Aussagen zu den zentralen Erlebnissen erwartet werden können. Die geltend gemachten Vorbringen seien ferner, wenn sie geglaubt würden, nicht asylrelevant. Der Beschwerdeführer mache Behelligungen und Bedrohungen durch private Drittpersonen geltend, welche durch die heimatlichen Behörden geahndet und bestraft würden. Den Behörden könne kein Mangel an Schutzwille oder Schutzfähigkeit vorgeworfen werden, nachdem der Beschwerdeführer und seine Eltern sich gar nicht an die Behörden gewendet hätten. Es handle sich ausserdem um regional beschränkte Verfolgungsmassnahmen, denen der Beschwerdeführer sich durch Wegzug in einen anderen Teil des Heimatlandes hätte entziehen können. Ferner sei auch nicht eine begründete Frucht vor zukünftiger Verfolgung zu bejahen. Der Beschwerdeführer erfülle keine Risikofaktoren im Sinne des Referenzurteils des Bundesverwaltungsgerichts betreffend eine allfällige Gefährdung von aus der Schweiz nach Sri Lanka zurückkehrenden tamilischen Asylsuchenden (Referenzurteil E-1866/2015 vom 15. Juli 2016). Die Zugehörigkeit zur tamilischen Ethnie und die relativ kurze Landesabwesenheit (seit September 2018) würden nicht ausreichen, um drohende Verfolgungsmassnahmen bei einer Rückkehr, die über eine routinemässige Hintergrund-Befragung bei der Einreise am Flughafen hinausgehen würden, zu bejahen. Angesichts des jugendlichen Alters und der legalen Ausreise aus Sri Lanka sei in keiner Art und Weise davon auszugehen, es könnten bei der Rückkehr Schwierigkeiten mit den sri-lankischen Behörden drohen.</w:t>
      </w:r>
    </w:p>
    <w:p>
      <w:r>
        <w:rPr>
          <w:b/>
        </w:rPr>
        <w:t>E. 5.2</w:t>
      </w:r>
    </w:p>
    <w:p>
      <w:r>
        <w:t>Der Beschwerdeführer bringt in der Beschwerde vor, die geltend gemachte Bedrohungslage sei in keiner Weise weltfremd. Kriminelle Banden wie jene, deren Tat er beobachtet habe, würden in Sri Lanka grosse Freiräume geniessen, seien mächtig und müssten sich nicht verstecken. Es handle sich um Trinker und Gesetzlose, die die Bevölkerung drangsalieren würden und sich nicht vernünftig verhielten. Es sei durchaus glaubhaft, dass seine Familie sich aus Angst nicht an die Behörden habe wenden können. Was die Einschätzung betreffe, er habe seine Vorbringen nur oberflächlich erzählen können, treffe dies nicht zu; vielmehr habe der Dolmetscher offenbar die deutsche Sprache nicht gut genug beherrscht, was sich etwa bei der Verwechslung von «Schlepper» und «Schlepperin» (A15 F131), bei der Verwechslung der Begriffe «Schwert» und «Messer» oder bei der Verwendung des Begriffs «schneiden» (z.B. in A15 F66, 69; für «Verletzungen mit dem Messer zufügen») zeige. Die Schilderungen des Beschwerdeführers seien vielmehr erlebnisbasiert und würden viele Realkennzeichen enthalten. Der sri-lankische Staat könne gegen diese Bande keinen Schutz gewähren und sei weder fähig noch gewillt, sich für tamilische Schutzbedürftige einzusetzen. Der Beschwerdeführer habe auch nicht an einen anderen Ort umziehen können, da ihm dafür die wirtschaftliche Grundlage gefehlt hätte.</w:t>
      </w:r>
    </w:p>
    <w:p>
      <w:r>
        <w:rPr>
          <w:b/>
        </w:rPr>
        <w:t>E. 6.1</w:t>
      </w:r>
    </w:p>
    <w:p>
      <w:r>
        <w:t>Das Gericht bestätigt die Einschätzung der Vorinstanz, dass der Beschwerdeführer nicht aufgezeigt hat, er habe vor seiner Ausreise aus Sri Lanka ernsthafte Nachteile im Sinn von Art. 3 AsylG erlebt oder befürchten müssen. Es ist auf die zutreffenden Erwägungen der Vorinstanz zu verweisen, um Wiederholungen zu vermeiden. Insbesondere stützt das Gericht die Erwägungen, dass die Vorbringen, ungeachtet der Frage ihrer Glaubhaftigkeit, sich auf eine Bedrohungslage seitens privater Drittpersonen beziehen und nicht asylrelevant sind. Der Einschätzung, dem sri-lankischen Staat fehle es generell an Schutzwille und Schutzfähigkeit für die tamilische Bevölkerung, schliesst sich das Gericht nicht an. Angesichts der Aussagen des Beschwerdeführers, dass seine Grosseltern und etliche Onkel und Tanten in H._______ leben (A6 S. 5, A15 F30 ff.) und dass eine Tante in Colombo eine Wohnung besitzt (A15 F 109), hat das SEM zu Recht auch das Bestehen einer zumutbaren innerstaatlichen Fluchtalternative bejaht. Zutreffend ist die Vorinstanz auch davon ausgegangen, beim Beschwerdeführer würden keine Risikofaktoren vorliegen, die auf eine zukünftige Verfolgung nach der Rückkehr aus der Schweiz schliessen lassen würden. Neben den in der angefochtenen Verfügung bereits genannten Überlegungen ist insbesondere festzuhalten, dass der Beschwerdeführer seinen Angaben zufolge bisher mit den Behörden nie in irgendeiner Weise Probleme gehabt und sich nie politisch engagiert hat (A6 S. 8); auch von politischen Aktivitäten seiner Angehörigen oder von eigenen exilpolitischen Aktivitäten in der Schweiz ist nie die Rede gewesen.</w:t>
      </w:r>
    </w:p>
    <w:p>
      <w:r>
        <w:rPr>
          <w:b/>
        </w:rPr>
        <w:t>E. 6.2</w:t>
      </w:r>
    </w:p>
    <w:p>
      <w:r>
        <w:t>An dieser Einschätzung ändern auch die jüngsten politischen Entwicklungen im Heimatstaat Sri Lanka nichts, dies betrifft insbesondere den Ausgang der Präsidentschaftswahlen im November 2019 und den darauf folgenden Regierungswechsel. Am 16. November 2019 wurde Gotabaya Rajapaksa zum neuen Präsidenten Sri Lankas gewählt. Gotabaya Rajapaksa war unter seinem älteren Bruder Mahinda Rajapaksa, der von 2005 bis 2015 Präsident war, Verteidigungsminister und wurde in diesem Zusammenhang zahlreicher Verbrechen gegen Journalistinnen und Journalisten sowie Aktivistinnen und Aktivisten angeklagt. Zudem wird er von Beobachtern für Menschenrechtsverletzungen und Kriegsverbrechen im Zusammenhang mit dem Ende des Bürgerkrieges 2009 verantwortlich gemacht (vgl. Hannah Ellis-Petersen, The Guardian, Gotabaya Rajapaksa elected president of Sri Lanka, 17. November 2020, https://www.theguardian.com/world/2019/nov/17/sri-lanka-presidential-candidate-rajapaksa-premadas-count-continues und Human Rights Watch: World Report 2020 - Sri Lanka, 14.1.2020, https://www.hrw.org/world-report/2020/country-chapters/sri-lanka , beide abgerufen am 06.07.2020). Kurz nach der Wahl ernannte der neue Präsident seinen Bruder Mahinda zum Premierminister und berief auch einen weiteren Bruder, Chamal Rajapaksa, in die Regierung. Die drei Brüder kontrollieren in der neuen Regierung zahlreiche Ministerien und Departemente (vgl. Hannah Ellis-Petersen, The Guardian, Sri Lanka's president Rajapaksa cements family power as brothers join cabinet, 22. November 2019, www.theguardian.com/world/2019/-nov/22/sri-lankas-president-rajapaksa-cements-family-power-as-brothers-join-cabinet , abgerufen am 23.09.2020). Beobachter sowie ethnische und religiöse Minderheiten befürchten aufgrund dieser Macht der Familie Rajapaksa verstärkte Repression und die vermehrte Überwachung von Menschenrechtsaktivistinnen und -aktivisten, Journalistinnen und Journalisten, Oppositionellen und regierungskritischen Personen (vgl. Schweizerische Flüchtlingshilfe [SFH]: Regierungswechsel weckt Ängste bei Minderheiten, 21.11.2019, www.fluechtlingshilfe.ch/publikationen/im-fokus/sri-lanka-reg-ierungswechsel-weckt-aengste-bei-minderheiten, abgerufen am 23.09.2020). Das Bundesverwaltungsgericht ist sich dieser Veränderungen in Sri Lanka bewusst und beobachtet die Entwicklungen laufend. Zwar ist beim derzeitigen Kenntnisstand eine Akzentuierung der Gefährdungslage für Personen mit gewissen Risikofaktoren möglich (vgl. z.B. Human Rights Watch, Sri Lanka: Families of «Disappeared» Threatened, 16.02.2020, www.hrw.org-/news/2020/02/16/sri-lanka-families-disappeared-threaten-ed, abgerufen am 23.09.2020). Vorliegend besteht jedoch kein persönlicher Bezug des Beschwerdeführers zur Präsidentschaftswahl vom 16. November 2019 respektive zu deren Folgen. Dafür, dass seit dem Machtwechsel in Sri Lanka ganze Bevölkerungsgruppen oder Rückkehrer tamilischer Ethnie aus der Schweiz generell, das heisst ohne weitere individuelle Gefährdungskomponente, einer Verfolgungsgefahr ausgesetzt wären, gibt es derzeit keine Anzeichen. Deshalb ändern diese Umstände nichts an der Risikoeinschätzung betreffend den Beschwerdeführer.</w:t>
      </w:r>
    </w:p>
    <w:p>
      <w:r>
        <w:rPr>
          <w:b/>
        </w:rPr>
        <w:t>E. 7</w:t>
      </w:r>
    </w:p>
    <w:p>
      <w:r>
        <w:t>Zusammenfassend hat die Vorinstanz die Flüchtlingseigenschaft des Beschwerdeführers zu Recht verneint und sein Asylgesuch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9.2.1</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Nachdem der Beschwerdeführer, wie oben ausgeführt, die Flüchtlingseigenschaft nicht erfüllt und nicht aufgezeigt hat, er müsse im Heimatland in begründeter Weise eine zukünftige Verfolgung befürchten, findet der Grundsatz des flüchtlingsrechtlichen Non-Refoulement keine Anwendung. Es bestehen auch keine Anhaltspunkte dafür, dass er für den Fall einer Ausschaffung in den Heimatstaat dort mit beachtlicher Wahrscheinlichkeit einer nach Art. 3 EMRK oder Art. 1 FoK verbotenen Strafe oder Behandlung ausgesetzt wäre. Gemäss ständiger Praxis müsste der Beschwerdeführer eine konkrete Gefahr («real risk») nachweisen oder glaubhaft machen, dass ihm im Fall einer Rückschiebung Folter oder unmenschliche Behandlung drohen würde; dies ist ihm nach dem oben Gesagten nicht gelungen. Auch die allgemeine Menschenrechtssituation in Sri Lanka lässt den Wegweisungsvollzug nicht als unzulässig erscheinen.</w:t>
      </w:r>
    </w:p>
    <w:p>
      <w:r>
        <w:rPr>
          <w:b/>
        </w:rPr>
        <w:t>E. 9.2.2</w:t>
      </w:r>
    </w:p>
    <w:p>
      <w:r>
        <w:t>Als zutreffend erweisen sich im Übrigen auch die Ausführungen der Vorinstanz betreffend die Verpflichtungen aus dem Übereinkommen vom 20. November 1989 über die Rechte des Kindes (nachfolgend: KRK,SR 0.107). Die Bestimmungen der KRK sind nicht self-executing. Es ist nach Aktenlage nicht ersichtlich, dass das SEM durch sein auf die nationalen Bestimmungen abgestütztes Vorgehen die völkerrechtlichen Verpflichtungen der Schweiz zum Schutz von Kindern, insbesondere in Hinblick auf den Erhalt der familiären Beziehungen, im Fall des Beschwerdeführers verletzt haben sollte. Der Vollzug der Wegweisung ist auch unter diesen Vorzeichen zulässig. Der Minderjährigkeit ist im Rahmen der Prüfung der Zumutbarkeit des Wegweisungsvollzugs Rechnung zu tragen.</w:t>
      </w:r>
    </w:p>
    <w:p>
      <w:r>
        <w:rPr>
          <w:b/>
        </w:rPr>
        <w:t>E. 9.3</w:t>
      </w:r>
    </w:p>
    <w:p>
      <w:r>
        <w:t>Nach dem Gesagten ist der Vollzug der Wegweisung sowohl im Sinne der asyl- als auch der völkerrechtlichen Bestimmungen zulässig.</w:t>
      </w:r>
    </w:p>
    <w:p>
      <w:r>
        <w:rPr>
          <w:b/>
        </w:rPr>
        <w:t>E. 9.4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9.5</w:t>
      </w:r>
    </w:p>
    <w:p>
      <w:r>
        <w:t>Der Beschwerdeführer machte in der Beschwerde geltend, er sei in seinem Heimatland durch Bandenmitglieder ständig bedroht, deshalb seien die Zustände desolat. Zudem sei er schon einige Zeit in der Schweiz und habe gut Deutsch gelernt, er wolle hier weiter zur Schule gehen. In der Eingabe vom 28. August 2019 wird vorgetragen, der Vollzug sei unzumutbar, da seine Familienangehörigen bereits in der Heimat als Flüchtlinge gelten müssten, zudem sei das Geld, welches für seine Ausreise aufgewendet worden sei, nicht mehr vorhanden, so dass die Lebensumstände der Familie prekär seien.</w:t>
      </w:r>
    </w:p>
    <w:p>
      <w:r>
        <w:rPr>
          <w:b/>
        </w:rPr>
        <w:t>E. 9.6</w:t>
      </w:r>
    </w:p>
    <w:p>
      <w:r>
        <w:t>Diese Vorbringen vermögen die Zumutbarkeit des Wegweisungsvollzugs nicht zu erschüttern.</w:t>
      </w:r>
    </w:p>
    <w:p>
      <w:r>
        <w:rPr>
          <w:b/>
        </w:rPr>
        <w:t>E. 9.6.1</w:t>
      </w:r>
    </w:p>
    <w:p>
      <w:r>
        <w:t>Das Bundesverwaltungsgericht hat zuletzt im länderspezifischen Referenzurteil E-1866/2015 vom 15. Juli 2016 zur Frage der Zumutbarkeit des Wegweisungsvollzugs abgewiesener Asylsuchender aus Sri Lanka insbesondere tamilischer Ethnie eine Lageanalyse vorgenommen (vgl. E. 13.2-13.4). Hinsichtlich der Nordprovinz, insbesondere Jaffna, woher der Beschwerdeführer stammt, wurde dabei zusammenfassend festgestellt, dass der Wegweisungsvollzug dorthin zumutbar ist, sofern das Vorliegen der individuellen Zumutbarkeitskriterien - insbesondere die Existenz eines tragfähigen familiären oder anderweitigen sozialen Beziehungsnetzes sowie Aussichten auf eine gesicherte Einkommens- und Wohnsituation - bejaht werden kann (vgl. E. 13.3).</w:t>
      </w:r>
    </w:p>
    <w:p>
      <w:r>
        <w:rPr>
          <w:b/>
        </w:rPr>
        <w:t>E. 9.6.2</w:t>
      </w:r>
    </w:p>
    <w:p>
      <w:r>
        <w:t>Der Beschwerdeführer kann im Fall der Rückkehr auf ein tragfähiges familiäres Netz zurückgreifen. Er selbst hatte in der Anhörung angegeben, die Eltern und Geschwister lebten in Sri Lanka. Der Vater fahre Tuktuk, am Morgen verteile er Zeitungen, später mache er Fahrten und ansonsten arbeite er in der Landwirtschaft (vgl. A15 F24-26), er bewirtschafte die ihm gehörenden Reisfelder; die Familie wohne im Haus eines Onkels (vgl. A6 F2.01). Der Familie gehe es finanziell «etwas schlechter» als anderen, aber bei Bedarf schicktedie Onkel aus Deutschland Geld, Geschwister des Vaters seien auch in der Schweiz (vgl. A15 F27 ff.). Zudem lebten weitere Verwandte in H._______ und Umgebung. Zwar brachte er vor, das Dorf der Eltern sei bombardiert worden und die Familie sei deshalb nach F._______ umgezogen, jedoch habe er daran keine Erinnerung mehr (vgl. A15 F45-48). Aus diesen Angaben kann geschlossen werden, dass die Familie des Beschwerdeführers - obwohl sie ihren ursprünglichen Wohnort aufgeben musste - in geordneten Verhältnissen lebt. Zwar ist sie nicht besonders wohlhabend, jedoch ging der Beschwerdeführer zur Schule und die Familie hatte ihr Auskommen. Zudem wurde sie durch die Verwandtschaft in Europa unterstützt. Da sich die Bedrohung des Beschwerdeführers durch die kriminelle Bande nicht als glaubhaft erwiesen hat, muss seine Rückkehr nach Sri Lanka als zumutbar gelten, da er dort zu seiner Familie zurückkehren, die Schule beenden und eine Ausbildung absolvieren kann.</w:t>
      </w:r>
    </w:p>
    <w:p>
      <w:r>
        <w:rPr>
          <w:b/>
        </w:rPr>
        <w:t>E. 9.7</w:t>
      </w:r>
    </w:p>
    <w:p>
      <w:r>
        <w:t>Der Beschwerdeführer machte des Weiteren geltend, der Vollzug der Wegweisung würde sein Kindeswohl verletzen.</w:t>
      </w:r>
    </w:p>
    <w:p>
      <w:r>
        <w:rPr>
          <w:b/>
        </w:rPr>
        <w:t>E. 9.7.1</w:t>
      </w:r>
    </w:p>
    <w:p>
      <w:r>
        <w:t>Das Bundesverwaltungsgericht stellt fest, dass sich die geltend gemachte Verletzung des Kindeswohls nicht als begründet erweist. Es trifft zu, dass im Rahmen der Prüfung der Unzumutbarkeit des Wegweisungsvollzugs gemäss Art. 83 Abs. 4 AIG das Kindeswohl zu beachten ist, was einer völkerrechtskonformen Auslegung dieser Bestimmung entspricht (vgl. BVGE 2015/30 E. 7.2). Zutreffend ist auch, dass die Verwurzelung von Kindern in der Schweiz eine reziproke Wirkung auf die Frage der Zumutbarkeit des Wegweisungsvollzugs entfalten kann, indem eine starke Assimilierung in der Schweiz eine Entwurzelung im Heimatstaat zur Folge haben kann, welche unter Umständen die Rückkehr dorthin als unzumutbar erscheinen lässt (vgl. BVGE 2009/51 E. 5.6; 2009/28 E. 9.3.2).</w:t>
      </w:r>
    </w:p>
    <w:p>
      <w:r>
        <w:rPr>
          <w:b/>
        </w:rPr>
        <w:t>E. 9.7.2</w:t>
      </w:r>
    </w:p>
    <w:p>
      <w:r>
        <w:t>Im vorliegenden Fall sind diese Befürchtungen jedoch nicht begründet. Der Beschwerdeführer ist inzwischen (...)-jährig und hält sich seit knapp zwei Jahren in der Schweiz auf. Zwar erklärte er, er lerne gut Deutsch und besuche in der Schweiz die Schule, andererseits gab er in der Anhörung auch an, seine Eltern und seine Familie sehr zu vermissen (vgl. A6 F8.02, A15 F113, 115); gemäss seinen Angaben steht er auch im Kontakt mit der Familie (vgl. A15 F14,15). Es ist davon auszugehen, dass der Beschwerdeführer sich im Fall der Rückkehr in der gewohnten Umgebung und im familiären Umfeld mit den Eltern und Geschwistern wieder zurechtfinden und an sein früheres Leben anknüpfen kann. Von einer derart fortgeschrittenen starken Verwurzelung, als dass eine Rückkehr nach Sri Lanka als unzumutbar gelten müsste, geht das Gericht bei dieser Ausgangslage nicht aus.</w:t>
      </w:r>
    </w:p>
    <w:p>
      <w:r>
        <w:rPr>
          <w:b/>
        </w:rPr>
        <w:t>E. 9.8</w:t>
      </w:r>
    </w:p>
    <w:p>
      <w:r>
        <w:t>Der Beschwerdeführer bringt des Weiteren vor, das SEM habe nicht genügende Abklärungen getroffen, um sicherzustellen, dass er im Fall der Rückkehr im Heimatstaat von einem Familienmitglied abgeholt werden würde.</w:t>
      </w:r>
    </w:p>
    <w:p>
      <w:r>
        <w:rPr>
          <w:b/>
        </w:rPr>
        <w:t>E. 9.8.1</w:t>
      </w:r>
    </w:p>
    <w:p>
      <w:r>
        <w:t>Auch dieser Einwand erweist sich als nicht stichhaltig. Richtig ist, dass das SEM nach gefestigter Praxis des Bundesverwaltungsgerichts beim Entscheid über den Vollzug der Wegweisung unbegleiteter Minderjähriger (Asylsuchender) von Amtes wegen verpflichtet ist, spezifische Abklärungen der persönlichen Situation unter dem Blickwinkel des Kindeswohls vorzunehmen, widrigenfalls der Sachverhalt nicht als korrekt und vollständig festgestellt gilt im Hinblick auf den Entscheid über die Durchführbarkeit des Wegweisungsvollzugs (vgl. BVGE 2015/30 E. 7.3, mit Verweis auf EMARK 2006 Nr. 24 E. 6 und 1998 Nr. 13 E. 5.e). Ferner hat die zuständige Behörde gemäss Art. 69 Abs. 4 AIG bei einer Ausschaffung von unbegleiteten minderjährigen Personen sicherzustellen, dass diese im Rückkehrstaat einem Familienmitglied, einem Vormund oder einer Aufnahmeeinrichtung übergeben werden, welche den Schutz des Kindes gewährleisten.</w:t>
      </w:r>
    </w:p>
    <w:p>
      <w:r>
        <w:rPr>
          <w:b/>
        </w:rPr>
        <w:t>E. 9.8.2</w:t>
      </w:r>
    </w:p>
    <w:p>
      <w:r>
        <w:t>Vorliegend ist das SEM seiner oben skizzierten Abklärungspflicht genügend nachgekommen. Der Beschwerdeführer wird nach Sri Lanka zu seiner Familie zurückkehren können. Aus seinen Aussagen in den Anhörungen ergeben sich keine Anhaltspunkte, weshalb seine Eltern ihn nicht auch in Empfang nehmen sollten, sofern er aufgrund einer behördlichen Anordnung der Schweizer Migrationsbehörden nach Sri Lanka zurückkehren muss. Eine besonders erhöhte Abklärungspflicht (wie sie beispielsweise dem Sachverhalt in BVGE 2015/30 zugrunde lag) ist im vorliegenden Fall nicht erkennbar. Die Eltern des Beschwerdeführers sind am Leben, die Familie hat ein Auskommen und der Beschwerdeführer findet ein tragfähiges familiäres Netz vor (vgl. E. 9.6.2). Der Hinweis des SEM, dass der Beschwerdeführer bei seiner Rückkehr zu den Eltern von seinen in der Schweiz ansässigen Tanten unterstützt werden könnte, ist daher keine - wie behauptet - pauschale Behauptung, vielmehr geht auch das Bundesverwaltungsgericht davon aus, dass die Familie die Rückkehr des Beschwerdeführers gleichermassen unterstützen wird, wie sie bereits die Ausreise ihres Sohnes zu organisieren vermochte. Dass das SEM seinen Abklärungspflichten in Hinblick auf das Kindeswohl nur ungenügend nachgekommen sei, greift bei dieser Ausgangslage nicht.</w:t>
      </w:r>
    </w:p>
    <w:p>
      <w:r>
        <w:rPr>
          <w:b/>
        </w:rPr>
        <w:t>E. 9.9</w:t>
      </w:r>
    </w:p>
    <w:p>
      <w:r>
        <w:t>Nach dem Gesagten erweist sich der Vollzug der Wegweisung auch als zumutbar.</w:t>
      </w:r>
    </w:p>
    <w:p>
      <w:r>
        <w:rPr>
          <w:b/>
        </w:rPr>
        <w:t>E. 9.10</w:t>
      </w:r>
    </w:p>
    <w:p>
      <w:r>
        <w:t>Schliesslich obliegt es dem Beschwerdeführer, sich bei der zuständigen Vertretung des Heimatstaates mit Hilfe seiner Beiständin die für eine Rückkehr notwendigen Reisedokumente zu beschaffen (vgl. Art. 8 Abs. 4 AsylG und dazu auch BVGE 2008/34 E. 12), weshalb der Vollzug der Wegweisung auch als möglich zu bezeichnen ist (Art. 83 Abs. 2 AIG).</w:t>
      </w:r>
    </w:p>
    <w:p>
      <w:r>
        <w:rPr>
          <w:b/>
        </w:rPr>
        <w:t>E. 9.11</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11.1</w:t>
      </w:r>
    </w:p>
    <w:p>
      <w:r>
        <w:t>Bei diesem Ausgang des Verfahrens wären die Kosten dem Beschwerdeführer aufzuerlegen (Art. 63 Abs. 1 VwVG). Mit Verfügung vom 19. Juli 2019 wurde jedoch die unentgeltliche Prozessführung gewährt. Da nicht von einer Veränderung der wirtschaftlichen Verhältnisse des minderjährigen Beschwerdeführers auszugehen ist, sind keine Verfahrenskosten zu erheben.</w:t>
      </w:r>
    </w:p>
    <w:p>
      <w:r>
        <w:rPr>
          <w:b/>
        </w:rPr>
        <w:t>E. 11.2</w:t>
      </w:r>
    </w:p>
    <w:p>
      <w:r>
        <w:t>Mit Zwischenverfügung vom 19. Juli 2019 wurde die Rechtsvertreterin als amtliche Vertreterin des Beschwerdeführers eingesetzt. Das Bundesverwaltungsgericht hat ihr ein amtliches Honorar auszurichten (vgl. aArt. 110a Abs. 1 AsylG i.V.m. Art. 9-14 des Reglements vom 21. Februar 2008 über die Kosten und Entschädigungen vor dem Bundesverwaltungsgericht [VGKE, SR 173.320.2]). Die Rechtsbeiständin hat eine Kostennote eingereicht (vgl. Beschwerdeakten Ziff. 10). Der darin geltend gemachte Zeitaufwand von insgesamt fünf Stunden erscheint angesichts der im vorliegenden Fall gegebenen Rechtsfragen und im Vergleich mit ähnlich gelagerten Fällen grundsätzlich angemessen. Unter Berücksichtigung der massgebenden Bemessungsfaktoren (Art. 9-13 VGKE), insbesondere der Entschädigungspraxis in Vergleichsfällen und der Ausbildung der Rechtsvertreterin, ist der Parteientschädigung ein Stundenansatz von Fr. 150.- zugrunde zu legen. Der Rechtsvertreterin ist damit ein Honorar von total Fr. 850.- (inklusive Auslagen) zulasten der Gerichtskasse zuzusprechen. Sie wird aufgefordert, dem Gericht eine Zahladresse mitzuteilen.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