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E-3485/2019 vom 6. April 2021</w:t>
      </w:r>
    </w:p>
    <w:p>
      <w:r>
        <w:t>Bundesverwaltungsgericht, 2021-04-06, DE</w:t>
      </w:r>
    </w:p>
    <w:p>
      <w:r>
        <w:rPr>
          <w:b/>
        </w:rPr>
        <w:t xml:space="preserve">Quelle: </w:t>
      </w:r>
      <w:r>
        <w:t>https://mcp.opencaselaw.ch/entscheid/bvger_E-3485_2019</w:t>
      </w:r>
    </w:p>
    <w:p>
      <w:r>
        <w:t>FR: TAF E-3485/2019 du 6 avril 2021</w:t>
      </w:r>
    </w:p>
    <w:p>
      <w:r>
        <w:t>IT: TAF E-3485/2019 del 6 aprile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Soweit der Beschwerdeführer beantragt, es sei ihm eine Nachfrist von dreissig Tagen zur Einreichung weiterer Beweismittel anzusetzen, ist festzuhalten, dass er mit Eingabe vom 24. Juli 2019 mehrere Beweismittel einreichte. Der entsprechende Antrag ist demnach gegenstandlos geworden.</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2012/5 E. 2.2).</w:t>
      </w:r>
    </w:p>
    <w:p>
      <w:r>
        <w:rPr>
          <w:b/>
        </w:rPr>
        <w:t>E. 6.1</w:t>
      </w:r>
    </w:p>
    <w:p>
      <w:r>
        <w:t>Die Vorinstanz gelangt in der angefochtenen Verfügung zum Schluss, die Vorbringen des Beschwerdeführers hielten weder den Anforderungen an das Glaubhaftmachen gemäss Art. 7 AsylG noch denjenigen an die Flüchtlingseigenschaft nach Art. 3 AsylG stand. Der Beschwerdeführer habe geltend gemacht, von den sri-lankischen Behörden verdächtigt worden zu sein, mit den LTTE zu kooperieren. In diesem Zusammenhang sei er gemäss eigenen Angaben vorübergehend festgenommen und wiederholt von den Behörden zuhause aufgesucht worden. Die Aussagen zu seiner angeblichen Verfolgungssituation seien indes widersprüchlich, oberflächlich und schemenhaft. Realkennzeichen seien in seinen Schilderungen nur unzureichend vorhanden. Die angebliche (...)wöchige Haft habe er in der BzP nicht erwähnt. Auf diese Unterlassung anlässlich der Anhörung angesprochen, habe er angegeben, er habe vergessen, die Haft zu erwähnen. Diese Erklärung vermöge jedoch nicht zu überzeugen. Eine (...)wöchige Haft, während der er angeblich misshandelt und zwei Mal täglich verhört worden sei, dürfte ein prägendes Erlebnis sein. Dieses Vorbringen sei klar als nachgeschoben und damit als unglaubhaft zu beurteilen. Im Übrigen habe er auch keine substantiierten Aussagen zur Haft machen können. Ferner habe er in der BzP von zwei LTTE-Mitgliedern erzählt, mit welchen er anlässlich der Wahlen zusammengearbeitet habe, anlässlich der Anhörung habe er drei Mitglieder erwähnt. Diesen Widerspruch habe er damit zu erklären versucht, die Erwähnung der dritten Person anlässlich der BzP vergessen zu haben. Zu seinen Aufenthalten nach seiner Haftentlassung bis zu seiner Ausreise habe er sich ebenfalls widersprüchlich geäussert. In der BzP habe er diesbezüglich ausgeführt, er habe sein Dorf Ende (...) 2014 verlassen, um sich bei Freunden in K._______ zu verstecken. Anlässlich der Anhörung habe er zunächst vorgebracht, er habe sich nach der Haftentlassung - welche (...) 2013 erfolgt sein dürfte, zumal er am (...) 2013 verhaftet worden sei - (...) Monate zuhause im Dorf aufgehalten. Kurz darauf habe er sich korrigiert und angegeben, er habe sich nach der Haftentlassung jeweils für (...) Monate in K._______ und L._______ versteckt. Somit hätte sich der Beschwerdeführer insgesamt (...) Monate bis etwa (...) 2014 bei Freunden aufgehalten. Die restliche Zeit bis zur Ausreise im Mai 2015 - somit je nach Version ab (...) 2014 oder (...) 2014 - habe er beim Schlepper im M._______ verbracht. Im späteren Verlauf der Anhörung habe er aber angegeben, er habe sich höchstens zwei oder drei Monate in M._______ aufgehalten. An anderer Stelle habe er hingegen vorgebracht, er habe sich erst ab November 2014 versteckt. Die Glaubhaftigkeit der Vorbringen, welche sich in den Jahren 2002 bis 2009 ereignet hätten, könne offenbleiben, da ein sachlicher und zeitlicher Kausalzusammenhang zur Ausreise fehle. Zudem seien die Aussagen des Beschwerdeführers auch zu diesen Ereignissen widersprüchlich ausgefallen. Die eingereichten Empfehlungsschreiben seien nicht geeignet, eine konkrete Gefährdungssituation zu belegen, da sie im Auftrag des Beschwerdeführers angefertigt worden seien und damit die subjektive Einschätzung Dritter widergeben würden. Die übrigen Beweismittel (undatierte Fotografien aus dem ehemaligen Arbeitsumfeld des Beschwerdeführers, Studentenausweise) seien ebenfalls nicht geeignet, eine konkrete Gefährdungssituation zu belegen. Betreffend das Vorliegen allfälliger Risikofaktoren sei festzuhalten, dass der Beschwerdeführer nicht habe glaubhaft machen können, vor seiner Ausreise asylrelevanten Verfolgungsmassnahmen ausgesetzt gewesen zu sein. Vielmehr habe er nach Kriegsende noch sechs Jahre in Sri Lanka gelebt. Allfällige im Zeitpunkt seiner Ausreise bestehende Risikofaktoren vermöchten folglich kein Verfolgungsinteresse seitens der sri-lankischen Behörden auszulösen.</w:t>
      </w:r>
    </w:p>
    <w:p>
      <w:r>
        <w:rPr>
          <w:b/>
        </w:rPr>
        <w:t>E. 6.2</w:t>
      </w:r>
    </w:p>
    <w:p>
      <w:r>
        <w:t>In der Rechtsmitteleingabe hält der Beschwerdeführer an der Glaubhaftigkeit und Asylrelevanz seiner Aussagen fest und macht damit eine Verletzung von Art. 7 und Art. 3 AsylG geltend. Er habe seine Festnahme im Jahr 2013 bei der BzP nicht erwähnt, weil ihm der Befrager gesagt habe, er solle sich auf die fluchtauslösende Verfolgung beschränken. Anfangs (...) 2014 habe er von der Tötung der dritten Person erfahren, die mit ihm im Wahlkampf zusammengearbeitet habe. Im (...) 2014 habe er von der Tötung von I._______ erfahren, was das fluchtauslösende Ereignis gewesen sei. Er habe damit gerechnet, als nächster der damaligen Wahlhelfer umgebracht zu werden. Anlässlich der BzP habe er die Tötung des dritten Mitaktivisten nicht erwähnt, weil dies nicht das fluchtauslösenden Ereignis gewesen sei. Der Zeitpunkt des Versteckens sei sodann unklar protokolliert worden. Er habe sich erst versteckt, nachdem er erfahren habe, dass seine Wahlkampfkollegen ermordet worden seien. Seine Angaben zur Anzahl der behördlichen Suchen seien nicht widersprüchlich. Es entstehe vielmehr der Eindruck, die Vorinstanz suche und konstruiere mit Spitzfindigkeiten Widersprüche. Seine Aussagen zur Festnahme im (...) 2013 seien ferner konsistent und enthielten genügend Realkennzeichen. Schliesslich würden diverse Schreiben seine Vorbringen bestätigen.</w:t>
      </w:r>
    </w:p>
    <w:p>
      <w:r>
        <w:rPr>
          <w:b/>
        </w:rPr>
        <w:t>E. 6.3</w:t>
      </w:r>
    </w:p>
    <w:p>
      <w:r>
        <w:t>In der Vernehmlassung führt die Vorinstanz aus, die Empfehlungsschreiben von Privatpersonen aus dem Umfeld des Beschwerdeführers seien nicht geeignet, eine konkrete Gefährdung zu belegen, da sie in seinem Auftrag erstellt worden seien und damit die subjektive Einschätzung privater Dritter wiedergeben würden. Das angebliche Schreiben der Armee vom 5. Dezember 2018 (bezeichnet als «[...]») sei aufgrund seines Inhalts und seiner Beschaffenheit als unecht zu qualifizieren. Die Armee würde kaum offiziell zugeben, während Jahren versagt zu haben, einer der Kooperation mit den LTTE Verdächtigen zu verhaften, und angeben, den Verdächtigen bei einer Rückkehr nach Sri Lanka sofort zu verhaften. Was die Beschaffenheit des Schreibens (gedruckter Briefkopf mit maschinengefertigtem Text) anbelange, so weise es keine Sicherheitsmerkmale auf. Solche Schreiben könnten leicht selbst angefertigt werden, weshalb es nicht beweiskräftig sei.</w:t>
      </w:r>
    </w:p>
    <w:p>
      <w:r>
        <w:rPr>
          <w:b/>
        </w:rPr>
        <w:t>E. 6.4</w:t>
      </w:r>
    </w:p>
    <w:p>
      <w:r>
        <w:t>In der Replik bringt der Beschwerdeführer vor, die Vorinstanz habe die eingereichten Beweismittel nicht konkret überprüft, womit sie das rechtliche Gehör verletze. Aus dem Schreiben der Armee ergebe sich, dass er verhaftet und unter Auflagen freigelassen worden sei, die er dann nicht eingehalten habe.</w:t>
      </w:r>
    </w:p>
    <w:p>
      <w:r>
        <w:rPr>
          <w:b/>
        </w:rPr>
        <w:t>E. 7.1</w:t>
      </w:r>
    </w:p>
    <w:p>
      <w:r>
        <w:t>Mit der Vorinstanz ist festzuhalten, dass nicht nachvollziehbar erscheint, weshalb der Beschwerdeführer die (...)wöchige Inhaftierung im (...) 2013 bei der BzP nicht erwähnte. Seine Erklärung in der Beschwerde, wonach ihm der Befrager gesagt habe, er solle sich auf die fluchtauslösenden Ereignisse beschränken, überzeugt nicht. Am Schluss der BzP wurde er gefragt, ob er alles habe sagen können, was für sein Asylgesuch relevant sein könne. Daraufhin erwähnte er lediglich die (...)- und (...)tägigen Inhaftierungen in den Jahren 2006 und 2007 (vgl. SEM-Akten A3/12 Ziff. 7.03). Anlässlich der Anhörung gab er im Widerspruch dazu an, er sei in den Jahren 2006, 2007 und im (...) 2013 inhaftiert worden. Im Übrigen sind seine Ausführungen zur angeblich (...)wöchigen Inhaftierung im (...) 2013 substanzlos, vage und enthalten kaum Realkennzeichen (vgl. SEM-Akten A10/21 F105 ff.). Weiter führte die Vorinstanz zutreffend aus, dass der Beschwerdeführer sich zur Anzahl der Personen, welche mit ihm als Wahlhelfer zusammengearbeitet hätten und in der Folge ermordet worden seien, unvereinbar geäussert hat. Anlässlich der BzP nannte er zwei Personen (vgl. SEM-Akten A3/12 Ziff. 7.01 und 7.02), währenddem er anlässlich der Anhörung von drei Personen sprach (vgl. SEM-Akten A10/21 F77 und F111). Seine Erklärung, er habe die Tötung des dritten Mitaktivisten nicht erwähnt, weil es sich nicht um das fluchtauslösende Ereignis gehandelt habe, vermag nicht ansatzweise zu überzeugen. Bei der Tötung der Mitaktivisten handelt es sich um das Kernvorbringen seines Asylgesuchs, womit von ihm übereinstimmende Aussagen hierzu hätten erwartet werden dürfen. Zudem gab der Beschwerdeführer anlässlich der Anhörung an, er habe von den beiden ersten Morden nichts mitbekommen. Erst nachdem er am (...) 2014 von der Tötung der dritten Person erfahren habe, habe er Angst bekommen und sich versteckt gehalten (vgl. a.a.O. F77). In der Beschwerde wird im Widerspruch dazu ausgeführt, er habe anfangs (...) 2014 von der Tötung des dritten Mitaktivisten erfahren. Im (...) 2014 habe er von der Tötung eines weiteren Mitaktivisten erfahren (vgl. Beschwerde S. 3). Der Beschwerdeführer hat indes nie geltend gemacht, es seien vier seiner Mitaktivisten getötet worden. Die von der Vorinstanz aufgezeigten Widersprüche werden demnach mit den Ausführungen in der Beschwerde nicht aufgelöst, vielmehr entstehen dadurch weitere Unvereinbarkeiten. Ferner hielt die Vorinstanz zutreffend fest, dass sich der Beschwerdeführer auch zu seinen Aufenthalten nach seiner Flucht aus dem Dorf widersprüchlich geäussert hat. Um Wiederholungen zu vermeiden, kann diesbezüglich vollumfänglich auf die zutreffenden Ausführungen in der angefochtenen Verfügung verwiesen werden. Soweit der Beschwerdeführer geltend macht, die Angaben zu seinen Aufenthalten nach seiner Inhaftierung im (...) 2013 seien auf eine unkorrekte Protokollierung zurückzuführen, ist festzuhalten, dass er gegen Ende der Anhörung auf die diesbezüglichen Widersprüche angesprochen wurde, worauf er diese jedoch nicht aufzulösen vermochte (vgl. SEM-Akten A10/21 F123 ff.).</w:t>
      </w:r>
    </w:p>
    <w:p>
      <w:r>
        <w:rPr>
          <w:b/>
        </w:rPr>
        <w:t>E. 7.2</w:t>
      </w:r>
    </w:p>
    <w:p>
      <w:r>
        <w:t>Bezüglich der zahlreichen Schreiben von Privatpersonen vom 3. Juli 2019 und jenem der Armee vom 5. Dezember 2018 kann vollumfänglich auf die zutreffenden Ausführungen der Vorinstanz in der Vernehmlassung verwiesen werden. Die Vorinstanz hat die eingereichten Dokumente gewürdigt, womit sich die Rüge der Verletzung des rechtlichen Gehörs als unbegründet erweist. Auffällig ist sodann, dass der Beschwerdeführer diese Beweismittel erst nach Erhalt des negativen Asylentscheids eingereicht hat, obwohl sie alle seine angeblich seit Jahren bestehende Verfolgung bestätigen sollen.</w:t>
      </w:r>
    </w:p>
    <w:p>
      <w:r>
        <w:rPr>
          <w:b/>
        </w:rPr>
        <w:t>E. 7.3</w:t>
      </w:r>
    </w:p>
    <w:p>
      <w:r>
        <w:t>Insgesamt konnte der Beschwerdeführer nicht glaubhaft machen, im November 2013 für (...) Wochen inhaftiert gewesen und in der Folge wiederholt von den sri-lankischen Behörden gesucht worden zu sein. Die Ereignisse in den Jahren 2002 bis 2009 sind sodann mangels zeitlichen und sachlichen Kausalzusammenhangs zur Ausreise nicht asylrelevant. Dem Beschwerdeführer ist es demnach nicht gelungen, eine asylrechtlich relevante Gefährdung beziehungsweise erlittene Nachteile im Zeitpunkt seiner Ausreise aus Sri Lanka glaubhaft zu machen.</w:t>
      </w:r>
    </w:p>
    <w:p>
      <w:r>
        <w:rPr>
          <w:b/>
        </w:rPr>
        <w:t>E. 8.1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M._______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8.2</w:t>
      </w:r>
    </w:p>
    <w:p>
      <w:r>
        <w:t>Gestützt auf die vorangehenden Erwägungen kann dem Beschwerdeführer nicht geglaubt werden, dass er im Zeitpunkt seiner Ausreise behördlich gesucht war. Sodann hatte er gemäss eigenen Angaben bis zur Ausreise keine Probleme mit den Behörden aufgrund der Verbindungen seines verstorbenen (...) zu den LTTE (vgl. SEM-Akten A10/21 F101 f.). Weiter wurde er keiner Straftat angeklagt oder verurteilt und verfügt daher auch nicht über einen Strafregistereintrag. Ferner weist er kein politisches Profil auf. Alleine aus der tamilischen Ethnie und der rund fünfjährigen Landesabwesenheit kann er keine Gefährdung ableiten. Unter Würdigung aller Umstände ist somit anzunehmen, dass der Beschwerdeführer von der sri-lankischen Regierung nicht zu jener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w:t>
      </w:r>
    </w:p>
    <w:p>
      <w:r>
        <w:rPr>
          <w:b/>
        </w:rPr>
        <w:t>E. 8.3</w:t>
      </w:r>
    </w:p>
    <w:p>
      <w:r>
        <w:t>Zusammenfassend hat die Vorinstanz die Flüchtlingseigenschaft des Beschwerdeführers zu Recht verneint und das Asylgesuch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10.4.1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statt vieler Urteil des BVGer E-895/2020 vom 15. April 2020 E. 9.3).</w:t>
      </w:r>
    </w:p>
    <w:p>
      <w:r>
        <w:rPr>
          <w:b/>
        </w:rPr>
        <w:t>E. 10.4.2</w:t>
      </w:r>
    </w:p>
    <w:p>
      <w:r>
        <w:t>Der Beschwerdeführer lebte zuletzt in B._______, Distrikt C._______, Nordprovinz. Seine Mutter und (...) Schwestern leben nach wie vor dort, womit er in seinem Herkunftsgebiet über ein bestehendes Beziehungsnetz verfügt. Nach Abschluss der Schule mit dem (...)-Level hat er studiert und bei einem (...) gearbeitet. Gemäss eigenen Angaben besitzt seine Familie (...) sowie (...) und gehe es ihnen finanziell sehr gut (vgl. SEM-Akten A10/21 F58). Gesundheitliche Probleme hat der Beschwerdeführer keine geltend gemacht (vgl. SEM-Akten A3/12 Ziff. 8.02 und A10/21 F74). Vor diesem Hintergrund ist davon auszugehen, dass er bei einer Rückkehr von seiner Familie bei der Wiedereingliederung unterstützt werden kann und eine neue Existenz wird aufbauen können. Der Vollzug der Wegweisung ist demnach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Da ihm mit Zwischenverfügung vom 12. August 2019 die unentgeltliche Prozessführung gewährt wurde und nicht von einer massgebenden Veränderung der finanziellen Verhältnisse auszugehen ist, sind keine Verfahrenskosten zu erheben.</w:t>
      </w:r>
    </w:p>
    <w:p>
      <w:r>
        <w:rPr>
          <w:b/>
        </w:rPr>
        <w:t>E. 12.2</w:t>
      </w:r>
    </w:p>
    <w:p>
      <w:r>
        <w:t>Mit Zwischenverfügung vom 12. August 2019 wurde das Gesuch um Gewährung der amtlichen Verbeiständung gutgeheissen und Rechtsanwalt Christian Wyss als amtlicher Rechtsbeistand eingesetzt. In seiner Kostennote vom 1. Oktober 2019 macht er einen Aufwand von 8,75 Stunden à Fr. 200.-, Übersetzungskosten von Fr. 140.- sowie Auslagen in der Höhe von Fr. 57.90 (total Fr. 2'087.10) geltend. Der geltend gemachte Aufwand und die Höhe der Übersetzungskosten erscheinen angemessen. Die Auslagen von Fr. 57.90 sind als zu hoch zu erachten und auf Fr. 30.- zu kürzen. Dem amtlichen Vertreter ist durch das Bundesverwaltungsgericht ein Honorar in der Höhe von Fr. 2'059.20 (inkl. Auslagen und Mehrwertsteuerzuschlag im Sinne von Art. 9 Abs. 1 Bst. c des Reglements vom 21. Februar 2008 über die Kosten und Entschädigungen vor dem Bundesverwaltungsgericht [VGKE, SR 173.320.2])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