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E-3485/2015 vom 23. März 2016</w:t>
      </w:r>
    </w:p>
    <w:p>
      <w:r>
        <w:t>Bundesverwaltungsgericht, 2016-03-23, FR</w:t>
      </w:r>
    </w:p>
    <w:p>
      <w:r>
        <w:rPr>
          <w:b/>
        </w:rPr>
        <w:t xml:space="preserve">Quelle: </w:t>
      </w:r>
      <w:r>
        <w:t>https://mcp.opencaselaw.ch/entscheid/bvger_E-3485_2015</w:t>
      </w:r>
    </w:p>
    <w:p>
      <w:r>
        <w:t>FR: TAF E-3485/2015 du 23 mars 2016</w:t>
      </w:r>
    </w:p>
    <w:p>
      <w:r>
        <w:t>IT: TAF E-3485/2015 del 23 marzo 2016</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La recourante a qualité pour recourir. Présenté dans la forme et dans les délais prescrits par la loi, le recours est recevable (art. 48 et 52 PA et art. 108 al. 1 LAsi).</w:t>
      </w:r>
    </w:p>
    <w:p>
      <w:r>
        <w:rPr>
          <w:b/>
        </w:rPr>
        <w:t>E. 2</w:t>
      </w:r>
    </w:p>
    <w:p>
      <w:r>
        <w:t>A titre préalable, le Tribunal doit écarter la conclusion tendant à ce que le prononcé de l'admission provisoire soit annulé pour motivation insuffisante, et à ce que l'exécution du renvoi soit considérée comme illicite, et non plus raisonnablement inexigible. En effet, si la motivation du SEM sur ce point est certes succincte, il n'en a pas moins donné gain de cause à la requérante en excluant l'exécution du renvoi ; substituer un motif à un autre ne changerait rien à son statut en Suisse. Ne pouvant aboutir à une modification du dispositif de la décision attaquée, mais s'attachant seulement à changer les motifs qui le fondent, la conclusion en cause n'est dès lors pas recevable. Dans cette mesure, l'étendue de la motivation retenue n'a pas d'incidence.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la recourante n'a pas été en mesure de faire apparaître la crédibilité et le sérieux de ses motifs.</w:t>
      </w:r>
    </w:p>
    <w:p>
      <w:r>
        <w:rPr>
          <w:b/>
        </w:rPr>
        <w:t>E. 4.2</w:t>
      </w:r>
    </w:p>
    <w:p>
      <w:r>
        <w:t>En effet, il n'est pas vraisemblable qu'elle ait été recherchée, en 2013 seulement, en raison d'événements survenus en 2011, alors même qu'elle aurait pu, dans l'intervalle, accomplir un séjour à l'étranger ; si son comportement avait été considéré comme assez grave pour justifier une interpellation, rien n'explique que l'ANR, saisie du cas, ait attendu deux ans pour y procéder. L'explication qu'elle a donnée - les autorités voulaient laisser le temps aux tensions post-électorales de s'apaiser (cf. audition du 21 février 2014, question 129) - n'emporte pas la conviction : en effet, l'intéressée auraient été recherchée en raison de remarques faites lors d'une réunion interne de la CENI, qui étaient donc restées inconnues du public ; son arrestation ne pouvait donc pas provoquer de troubles indésirables. En outre, le Tribunal discerne mal pour quels motifs la recourante aurait été l'objet de recherches, dans la mesure où on ne comprend pas en quoi des réflexions exprimées deux ans plus tôt, sur son lieu de travail, auraient pu présenter un risque quelconque pour les autorités ; bien au contraire, l'éventuelle interpellation de la recourante n'aurait pu qu'attirer l'attention sur les fraudes commises à l'époque. Dès lors, l'existence de recherches diligentées contre l'intéressée n'est pas vraisemblable. Les résultats de l'enquête de l'ambassade, selon laquelle les proches de l'intéressée ne font pas l'objet de pressions des autorités, plaident également dans ce sens.</w:t>
      </w:r>
    </w:p>
    <w:p>
      <w:r>
        <w:rPr>
          <w:b/>
        </w:rPr>
        <w:t>E. 4.3</w:t>
      </w:r>
    </w:p>
    <w:p>
      <w:r>
        <w:t>Les documents déposés par l'intéressée à l'appui de ses motifs ne permettent pas une autre appréciation de ceux-ci, vu leur caractère douteux. En effet, l'avis de recherche de l'ANR, produit sous forme de photocopie, ne donne pas le nom complet de la recourante, et orthographie son prénom de manière erronée ("[...]"). Quant au second avis de recherches, dont on ne comprend d'ailleurs pas pourquoi il émane d'un organisme militaire, il est également déposé sous forme de photocopie. De plus, il retient envers l'intéressée le grief de falsification de bulletins de vote, alors qu'elle serait précisément recherchée, à l'en croire, pour avoir ébruité une fraude, les autorités voulant la réduire au silence ; une telle accusation n'est donc guère logique. A cela s'ajoute que les avis de recherche ne sont jamais porté à la connaissance des personnes recherchées, ni a fortiori remis à des tiers, fût-ce sous forme de copie. Quant à l'article de (...), il est manifestement complaisant, ce type de publications insérant notoirement, contre paiement, les articles réclamés. L'assertion selon laquelle l'intéressée serait recherchée se trouve d'ailleurs démentie, ainsi qu'on l'a vu, par l'enquête de la représentation suisse. L'ambassade n'a d'ailleurs pas été en mesure d'entrer en contact avec ce journal ; l'explication que donne la recourante sur ce point n'est pas crédible : en effet, même visé par les autorités, un organe de presse écrite doit forcément, pour des raisons pratiques évidentes, disposer d'un siège et d'une adresse qui ne peuvent changer à tout bout de champ.</w:t>
      </w:r>
    </w:p>
    <w:p>
      <w:r>
        <w:rPr>
          <w:b/>
        </w:rPr>
        <w:t>E. 4.4</w:t>
      </w:r>
    </w:p>
    <w:p>
      <w:r>
        <w:t>Le Tribunal doit encore constater que le comportement de E._______, l'employée de l'ANR, tel que décrit par l'intéressée, n'est pas crédible. En effet, alors qu'elle n'avait avec la recourante que des relations épisodiques, elle n'en aurait pas moins pris le risque de subtiliser l'avis de recherche, avec tous les risques que cela comportait, puis aurait organisé et pris en charge l'hébergement de l'intéressée durant trois mois et demi, lui aurait procuré un passeport d'emprunt et un billet d'avion, et lui aurait fait passer les contrôles douaniers. Il n'est pas vraisemblable que l'amie de la recourante ait sciemment encouru de tels risques, ni qu'elle ait été en mesure de prendre toutes les dispositions nécessitées par le départ de l'intéressée, alors qu'elle occupait un emploi au sein des services de renseignements ; la manière dont elle se serait procuré un passeport destiné à la recourante n'est pas non plus claire.</w:t>
      </w:r>
    </w:p>
    <w:p>
      <w:r>
        <w:rPr>
          <w:b/>
        </w:rPr>
        <w:t>E. 4.5</w:t>
      </w:r>
    </w:p>
    <w:p>
      <w:r>
        <w:t>En conclusion, les motifs d'asile soulevés par l'intéressée, d'ailleurs infirmés par le rapport d'ambassade, ne sont pas crédibles et ne peuvent être retenus. Bien plus probablement, atteinte dans sa santé, elle a fait en sorte, par le biais d'une procédure d'asile, de rejoindre sa fille en Suisse. 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 La décision rendue par le SEM quant au renvoi est ainsi confirmée. Quant à son exécution, le Tribunal constate que le SEM a exclu le refoule­ment de l'intéressée dans son pays d'origine et a prononcé son admission provisoire. Cette question n'a donc pas à être tranchée.</w:t>
      </w:r>
    </w:p>
    <w:p>
      <w:r>
        <w:rPr>
          <w:b/>
        </w:rPr>
        <w:t>E. 6.1</w:t>
      </w:r>
    </w:p>
    <w:p>
      <w:r>
        <w:t>L'assistance judiciaire totale ayant été accordée, il n'est pas perçu de frais.</w:t>
      </w:r>
    </w:p>
    <w:p>
      <w:r>
        <w:rPr>
          <w:b/>
        </w:rPr>
        <w:t>E. 6.2</w:t>
      </w:r>
    </w:p>
    <w:p>
      <w:r>
        <w:t>La note de frais déposée avec le recours fait état de 11h30 de travail (690 minutes) au tarif horaire de 194 francs, soit au total 2231 francs (plus 54 francs de débours). Néanmoins 4h30 ont été consacrées à des tâches antérieures au dépôt du recours. En outre, en cas de représentation d'office en matière d'asile, le tarif horaire est dans la règle de 200 à 220 francs pour les avocats, et de 100 à 150 francs pour les représentants n'exerçant pas la profession d'avocat (cf. art. 12 en rapport avec l'art. 10 al. 2 du règlement du 21 février 2008 concernant les frais, dépens et indemnités fixés par le Tribunal administratif fédéral [FITAF, RS 173.320.2]). Seuls les frais nécessaires sont indemnisés (art. 8 al. 2 FITAF). Dès lors, en application de l'art. 14 al. 2 FITAF, le Tribunal fixe l'indemnité de la mandataire d'office, à raison de 7h de travail au tarif horaire de 150 francs, d'une estimation raisonnable du temps de travail ultérieur (réplique au rapport d'ambassade et à la réponse du SEM, soit 1h30) et des 54 francs de débours, à la somme globale de 1329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