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E-3485/2010 vom 10. Juni 2010</w:t>
      </w:r>
    </w:p>
    <w:p>
      <w:r>
        <w:t>Bundesverwaltungsgericht, 2010-06-10, DE</w:t>
      </w:r>
    </w:p>
    <w:p>
      <w:r>
        <w:rPr>
          <w:b/>
        </w:rPr>
        <w:t xml:space="preserve">Quelle: </w:t>
      </w:r>
      <w:r>
        <w:t>https://mcp.opencaselaw.ch/entscheid/bvger_E-3485_2010</w:t>
      </w:r>
    </w:p>
    <w:p>
      <w:r>
        <w:t>FR: TAF E-3485/2010 du 10 juin 2010</w:t>
      </w:r>
    </w:p>
    <w:p>
      <w:r>
        <w:t>IT: TAF E-3485/2010 del 10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26. April 2010 bei der Botschaft in Colombo und am 17. Mai 2010 beim Bundesverwaltungsgericht eingegangene Beschwerde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sei nach nur einem Monat Haft wegen Verdachts auf Mitgliedschaft bei der LTTE ohne Anklage und ohne weitere Bedingungen wieder freigelassen worden. Die Abklärungen hätten offensichtlich ergeben, dass nichts gegen ihn vorliege. Der Beschwerdeführer habe demnach keine weiteren Verfolgungsmassnahmen seitens der srilankischen Sicherheitsbehörden zu befürchten. Vor diesem Hintergrund sei nicht nachvollziehbar, weshalb er aus Angst den C._______ nicht mehr verlassen wolle. Sodann seien die weiter geltend gemachten Nachteile auf die allgemeine wirtschaftliche Lage in Sri Lanka zurückzuführen. Solche Nachteile würden keine einreisebeachtliche Verfolgung im Sinne des Asylgesetzes darstellen. Deshalb und aufgrund des Umstands, dass der Beschwerdeführer kein Gefährdungsprofil aufweise, das im heutigen Zeitpunkt mit erheblicher Wahrscheinlichkeit auf eine Verfolgung schliessen lassen würde, seien die geltend gemachten Vorbringen nicht einreiserelevant.</w:t>
      </w:r>
    </w:p>
    <w:p>
      <w:r>
        <w:rPr>
          <w:b/>
        </w:rPr>
        <w:t>E. 5.2</w:t>
      </w:r>
    </w:p>
    <w:p>
      <w:r>
        <w:t>In der Rechtsmitteleingabe führt der Beschwerdeführer aus, er sei seinerzeit von der LTTE zwangsrekrutiert worden. Die srilankischen Sicherheitskräfte würden ihn immer noch als Mitglied und Unterstützer der LTTE betrachten, weshalb er Repressalien befürchte. Vor einiger Zeit habe er eine Todesdrohung von Unbekannten erhalten. Er habe deshalb Angst, weiter in seinem Heimatland zu verbleiben.</w:t>
      </w:r>
    </w:p>
    <w:p>
      <w:r>
        <w:rPr>
          <w:b/>
        </w:rPr>
        <w:t>E. 5.3</w:t>
      </w:r>
    </w:p>
    <w:p>
      <w:r>
        <w:t>Es ist nicht in Abrede zu stellen, dass die allgemeine Situation für die Tamilen insbesondere im Norden und Osten Sri Lankas nach dem offiziellen Ende des langjährigen Bürgerkriegs im Mai 2009 schwierig war und auch heute noch ist (vgl. etwa Schweizerische Flüchtlingshilfe, Asylsuchende aus Sri Lanka, Position der Schweizerischen Flüchtlingshilfe SFH, Bern, 8. Dezember 2009). Nach den Erkenntnissen des Bundesverwaltungsgerichts hat sich die allgemeine Sicherheitslage der Tamilen aber im letzten halben Jahr sukzessive verbessert. Sie können sich im Land freier bewegen, die Strasse A-9 wurde wieder dem Verkehr übergeben und das restriktive Passsystem für Aus- und Einreisen nach Jaffna wurde abgeschafft. Sodann wurde die Polizei- und Armeepräsenz insbesondere im Osten erheblich reduziert. Vor diesem Hintergrund erscheinen die vom Beschwerdeführer geäusserten Ängste, seitens der srilankischen Sicherheitsbehörden erneut verhaftet zu werden, nicht begründet. Dieser Schluss drängt sich um so mehr auf, als der Beschwerdeführer nach seiner Inhaftierung im Januar 2009 nach einem Monat ohne Anklage und insbesondere auch ohne Auflage aus der Haft entlassen wurde, mithin davon auszugehen ist, dass die heimatlichen Behörden kein ernsthaftes Verfolgungsinteresse an seiner Person hatten beziehungsweise haben. Dieser bereits von der Vorinstanz zu Recht gezogene Schluss vermag der Beschwerdeführer mit dem Wiederholen seiner Vorbringen und dem sinngemässen Festhalten an deren Tatsächlichkeit nicht in Frage zu stellen. Was die angeblichen Drohung durch Unbekannte anbelangt, so genügt allein die Angst vor einer allfällig künftigen Verfolgung nicht, um auf das Vorliegen einer begründeten Furcht vor künftiger Verfolgung zu schliessen. Soweit sich der Beschwerdeführer schliesslich auf seine schwierige wirtschaftliche Situation beruft, stellt eine solche und insoweit humanitäre Überlegungen keinen Grund für die Bewilligung zur Einreise in die Schweiz und damit einen Grund zur Anerkennung als Flüchtling dar.</w:t>
      </w:r>
    </w:p>
    <w:p>
      <w:r>
        <w:rPr>
          <w:b/>
        </w:rPr>
        <w:t>E. 5.4</w:t>
      </w:r>
    </w:p>
    <w:p>
      <w:r>
        <w:t>Dem Beschwerdeführer ist es somit nicht gelungen, eine aktuelle und unmittelbare Gefährdung im Sinne von Art. 3 AsylG beziehungsweise konkrete Hinweise auf eine künftige, asylrelevante Verfolgung und eine damit einhergehenden, begründete Verfolgungsfurcht darzulegen. Damit ist ihm ein weiterer Verbleib in seinem Heimatland zumutbar. Das BFM hat demnach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