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E-3483/2020 vom 30. November 2022</w:t>
      </w:r>
    </w:p>
    <w:p>
      <w:r>
        <w:t>Bundesverwaltungsgericht, 2022-11-30, DE</w:t>
      </w:r>
    </w:p>
    <w:p>
      <w:r>
        <w:rPr>
          <w:b/>
        </w:rPr>
        <w:t xml:space="preserve">Quelle: </w:t>
      </w:r>
      <w:r>
        <w:t>https://mcp.opencaselaw.ch/entscheid/bvger_E-3483_2020</w:t>
      </w:r>
    </w:p>
    <w:p>
      <w:r>
        <w:t>FR: TAF E-3483/2020 du 30 novembre 2022</w:t>
      </w:r>
    </w:p>
    <w:p>
      <w:r>
        <w:t>IT: TAF E-3483/2020 del 30 novembre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w:t>
      </w:r>
    </w:p>
    <w:p>
      <w:r>
        <w:rPr>
          <w:b/>
        </w:rPr>
        <w:t>E. 1.2</w:t>
      </w:r>
    </w:p>
    <w:p>
      <w:r>
        <w:t>Am 1. März 2019 ist die Teilrevision des AsylG vom 26. Juni 1998 (AS 2016 3101; SR 142.31) in Kraft getreten. Für das vorliegende Verfahren gilt das bisherige Recht (Abs. 1 der Übergangsbestimmungen zur Ände- rung des AsylG vom 25. September 2015).</w:t>
      </w:r>
    </w:p>
    <w:p>
      <w:r>
        <w:rPr>
          <w:b/>
        </w:rPr>
        <w:t>E. 1.3</w:t>
      </w:r>
    </w:p>
    <w:p>
      <w:r>
        <w:t>Die Beschwerdeführerin ist als Verfügungsadressatin zur Beschwerde- führung legitimiert (Art. 48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Der Beschwerdeführerin wurde mit Zwischenverfügung vom 29. Juli 2020 antragsgemäss der Spruchkörper bekannt gegeben, dies ausdrück- lich unter Vorbehalt allfälliger Wechsel bei Abwesenheiten. Weil sowohl die damalige Drittrichterin als auch die Gerichtsschreiberin das Bundesverwal- tungsgericht zwischenzeitlich verlassen haben, wurden diese Personen im Spruchkörper nachträglich ersetzt.</w:t>
      </w:r>
    </w:p>
    <w:p>
      <w:r>
        <w:rPr>
          <w:b/>
        </w:rPr>
        <w:t>E. 3.2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vom 21. April 2022 E. 4.4, zur Pub- likation vorgesehen).</w:t>
      </w:r>
    </w:p>
    <w:p>
      <w:r>
        <w:t>E-3483/2020 Seite 7</w:t>
      </w:r>
    </w:p>
    <w:p>
      <w:r>
        <w:rPr>
          <w:b/>
        </w:rPr>
        <w:t>E. 3.3</w:t>
      </w:r>
    </w:p>
    <w:p>
      <w:r>
        <w:t>Zu den weiteren Anträgen der Beschwerdeführerin in Bezug auf die Spruchkörperbildung kann Folgendes festgehalten werden:</w:t>
      </w:r>
    </w:p>
    <w:p>
      <w:r>
        <w:rPr>
          <w:b/>
        </w:rPr>
        <w:t>E. 3.3.1</w:t>
      </w:r>
    </w:p>
    <w:p>
      <w:r>
        <w:t>Die Richterinnen und Richter des am 29. Juli 2020 kommunizierten Spruchkörpers wurden durch das EDV-basierte Zuteilungssystem des Bundesverwaltungsgerichts automatisiert bestimmt. Der Ersatz der zwi- schenzeitlich pensionierten Drittrichterin wurde aufgrund objektiver und im Voraus bestimmter Kriterien vorgenommen (Art. 31 Abs. 3 VGR). Als ob- jektive Kriterien in diesem Sinn gelten Amtssprache, Beschäftigungsgrad, Belastung durch die Mitarbeit in Gerichtsgremien, Vorbefassung, Kammer- zuständigkeit, Austritt, Erweiterung des Spruchkörpers, Ausstand, enger Sachzusammenhang, Abwesenheit sowie Ausgleich der Belastungssitua- tion (vgl. Grundsatzurteil D-3946/2020, a.a.O., E. 4.4).</w:t>
      </w:r>
    </w:p>
    <w:p>
      <w:r>
        <w:rPr>
          <w:b/>
        </w:rPr>
        <w:t>E. 3.3.2</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abzuweisen ist.</w:t>
      </w:r>
    </w:p>
    <w:p>
      <w:r>
        <w:rPr>
          <w:b/>
        </w:rPr>
        <w:t>E. 4.1</w:t>
      </w:r>
    </w:p>
    <w:p>
      <w:r>
        <w:t>In der Beschwerde werden formelle Rügen erhoben, welche vorab zu beurteilen sind, da sie allenfalls zur Kassation der angefochtenen Verfü- gung führen können.</w:t>
      </w:r>
    </w:p>
    <w:p>
      <w:r>
        <w:rPr>
          <w:b/>
        </w:rPr>
        <w:t>E. 4.2</w:t>
      </w:r>
    </w:p>
    <w:p>
      <w:r>
        <w:t>Die Beschwerdeführerin rügt zunächst eine Verletzung des rechtlichen Gehörs. Gemäss Richtlinie der Vorinstanz könne die Rückübersetzung aus objektiven Gründen innerhalb weniger Tage nach der Anhörung durchge- führt werden. Im vorliegenden Fall seien zwischen der Anhörung und der Rückübersetzung aber zwei Monate vergangen. Dies lasse sich nicht damit entschuldigen, dass sie nach einem während der Anhörung erlittenen (…) eine Woche stationär behandelt worden sei. Ferner habe sie bereits zu Be- ginn der Anhörung auf ihre schlechte psychische Verfassung aufmerksam gemacht. Sie habe mehrmals darauf hingewiesen, Kopfschmerzen zu ha- ben. Anstatt ihr eine Pause zu gewähren, sei sie vertröstet worden. Bei dieser Ausgangslage wäre die Vorinstanz verpflichtet gewesen, eine er- neute Anhörung durchzuführen, anstatt die Rückübersetzung zu verschie- ben.</w:t>
      </w:r>
    </w:p>
    <w:p>
      <w:r>
        <w:rPr>
          <w:b/>
        </w:rPr>
        <w:t>E. 4.3</w:t>
      </w:r>
    </w:p>
    <w:p>
      <w:r>
        <w:t>In der Vernehmlassung führt die Vorinstanz aus, die Zeitspanne von 56 Tagen zwischen Anhörung und Rückübersetzung sei allein auf die Tatsa-</w:t>
      </w:r>
    </w:p>
    <w:p>
      <w:r>
        <w:t>E-3483/2020 Seite 8 che zurückzuführen, dass sich die Beschwerdeführerin aufgrund ihres Ge- sundheitszustands und Klinikaufenthalten nicht früher dazu in der Lage ge- sehen habe. Sie habe anlässlich der Rückübersetzung nicht erwähnt, dass ihre Aussagen keine Gültigkeit hätten, sondern vielmehr deren Richtigkeit mit ihrer Unterschrift bestätigt. Zu Beginn der Anhörung habe sie zwar auf ihre schlechte psychische Verfassung hingewiesen und gemäss Angaben der zur Durchführung eines korrekten Verfahrens anwesenden Hilfswerks- vertretung habe sie oft geweint und heftig geschluchzt. Ihr Aussagenver- haltens weise aber daraufhin, dass sie trotz ihres Zustands in der Lage gewesen sei, an der Anhörung teilzunehmen und ihre Asylgründe darzule- gen.</w:t>
      </w:r>
    </w:p>
    <w:p>
      <w:r>
        <w:rPr>
          <w:b/>
        </w:rPr>
        <w:t>E. 4.4</w:t>
      </w:r>
    </w:p>
    <w:p>
      <w:r>
        <w:t>In der Replik bringt die Beschwerdeführerin vor, die Vorinstanz setze sich über interne Richtlinien und die Rechtsprechung des Bundesverwal- tungsgerichts hinweg. Es könne von ihr nicht verlangt werden, dass sie sich nach einem (…) und nachfolgendem Klinikaufenthalt 56 Tage nach der Anhörung noch daran erinnern könne, was sie gesagt habe und was im Protokoll festgehalten worden sei.</w:t>
      </w:r>
    </w:p>
    <w:p>
      <w:r>
        <w:rPr>
          <w:b/>
        </w:rPr>
        <w:t>E. 4.5</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(Art. 35 Abs. 1 VwVG). Der Anspruch auf rechtliches Gehör umfasst diverse Teilgehalte, unter ande- rem auch das Recht auf Anhörung (Art. 30 Abs. 1 VwVG). Die Anhörung stellt nicht nur ein persönlichkeitsbezogenes Mitwirkungsrecht der asylsu- chenden Person und einen Teilgehalt des rechtlichen Gehörs dar, sondern dient auch der materiellen Sachverhaltsabklärung, die im Asylverfahren grundsätzlich von Amtes wegen durchzuführen ist (Art. 6 AsylG i.V.m. Art. 12 VwVG). Die asylsuchende Person hat im Asylverfahren im Sinne von Art. 29 Abs. 1 AsylG grundsätzlich das Recht, wenigstens einmal mündlich ihre Asylgründe vorzubringen sowie umfassend darzulegen (vgl. Urteil E-19/2015 des BVGer vom 9. Juli 2015 E. 3.3 m.H.). Das bei der Anhörung zu erstellende Protokoll soll alle Fragen und Antworten wortgetreu wieder- geben (Art. 29 Abs. 3 AsylG); es wird nach der Anhörung rückübersetzt und ist von den Beteiligten zu unterzeichnen. Die asylsuchende Person ist vor der Rückübersetzung darauf hinzuweisen, dass sie auf allfällige Über- setzungs- oder Protokollfehler aufmerksam zu machen hat. Die Anhörung</w:t>
      </w:r>
    </w:p>
    <w:p>
      <w:r>
        <w:t>E-3483/2020 Seite 9 kann als die wichtigste Grundlage für den Entscheid im Asylverfahren be- zeichnet werden, weshalb gerade auch angesichts der hochrangigen Rechtsgüter strenge Anforderungen an deren Qualität zu stellen sind (vgl. zum Ganzen BVGE 2007/30 E. 5.5).</w:t>
      </w:r>
    </w:p>
    <w:p>
      <w:r>
        <w:rPr>
          <w:b/>
        </w:rPr>
        <w:t>E. 4.6</w:t>
      </w:r>
    </w:p>
    <w:p>
      <w:r>
        <w:t>Die Beschwerdeführerin wurde am 20. Mai 2019 zu ihren Asylgründen angehört. Dem Protokoll lässt sich entnehmen, dass die Anhörung nach einem (…) der Beschwerdeführerin gegen Ende abgebrochen werden musste. Sodann ergibt sich aus den Akten, dass die Vorinstanz noch glei- chentags den Termin für die Rückübersetzung auf den 24. Mai 2019 ansetzte. Dieser Termin konnte von der Beschwerdeführerin nicht wahrgenommen werden, da sie während einer Woche stationär be- handelt und erst am 24. Mai 2019 aus dem Spital entlassen wurde. Mit Schreiben vom 28. Juni 2019 setze die Vorinstanz die Rückübersetzung auf den 15. Juli 2019 – mithin zwei Monate nach der Anhörung – an. Wenn auch Konstellationen im Sinne begründeter Ausnahmefälle denkbar sind, in welchen die Rückübersetzung innerhalb weniger Tage nach der Anhö- rung durchgeführt werden kann, wurde die Rückübersetzung durch die seit der Anhörung vergangene Zeitspanne von acht Wochen völlig aus dem zeitlichen und inhaltlichen Kontext gerissen. Es war der Beschwerdeführe- rin demnach faktisch unmöglich, auf allfällige Übersetzungs- oder Proto- kollfehler aufmerksam zu machen. Ferner macht die Beschwerdeführerin zu Recht geltend, sie habe bereits zu Beginn der Anhörung angegeben, dass es ihr psychisch nicht gut gehe. Die Befragerin erkundigte sich zwar daraufhin nach dem Gesundheitszustand, die Antwort der Beschwerdefüh- rerin passte aber nicht zur gestellten Frage (vgl. B40/29 F6). Eine Nach- frage seitens der Befragerin blieb aus. Im Verlaufe der Anhörung wies die Beschwerdeführerin darauf hin, dass sie Kopfschmerzen habe, worauf eine Pause in Aussicht gestellt wurde. Es folgten jedoch 14 weitere Fragen bis die Anhörung aufgrund des (…) der Beschwerdeführerin abgebrochen werden musste (vgl. a.a.O. F224 ff.).</w:t>
      </w:r>
    </w:p>
    <w:p>
      <w:r>
        <w:rPr>
          <w:b/>
        </w:rPr>
        <w:t>E. 4.7</w:t>
      </w:r>
    </w:p>
    <w:p>
      <w:r>
        <w:t>Nachdem die Anhörung bei der Ermittlung des rechtserheblichen Sach- verhalts die wichtigste Grundlage für den Entscheid im Asylverfahren ist, ist festhalten, dass im vorliegenden Verfahren der Sachverhalt nur unvoll- ständig festgestellt und damit der Untersuchungsgrundsatz im Sinne von Art. 12 VwVG verletzt wurde. Die diesbezügliche Rüge erweist sich dem- nach als begründet (Art. 106 Abs. 1 Bst. b AsylG). Mit Blick auf die formelle Natur des Anspruchs auf rechtliches Gehör ist vorliegend eine Heilung aus- geschlossen. Die Beschwerde ist demnach gutzuheissen, soweit die Auf- hebung der angefochtenen Verfügung beantragt wird. Die Verfügung der</w:t>
      </w:r>
    </w:p>
    <w:p>
      <w:r>
        <w:t>E-3483/2020 Seite 10 Vorinstanz ist aufzuheben und die Sache zu einer ergänzenden Anhörung der Beschwerdeführerin und zur Neubeurteilung an die Vorinstanz zurück- zuweisen. Angesichts der Rückweisung der Sache an die Vorinstanz ist auf die weiteren Anträge und Vorbringen nicht einzugehen.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Kos- tennote vom 13. Januar 2022 macht der Rechtsvertreter einen Aufwand von 31,76 Stunden zu einem Stundenansatz von Fr. 240.– sowie Auslagen in der Höhe von Fr. 74.60 geltend und weist daraufhin, dass er der Mehr- wertsteuer unterliege. Entschädigungspflichtig ist nur der notwendige Auf- wand, weshalb es zu berücksichtigen gilt, dass die Beschwerdeeingaben sowohl redundante Passagen als auch weitschweifige Ausführungen zur allgemeinen Lage in Sri Lanka enthalten, welche sich auch in Eingaben in anderen Beschwerdeverfahren des Rechtsvertreters finden. Der zeitliche Aufwand ist demnach auf 15 Stunden zu kürzen. Die Auslagen, insbeson- dere für die Kopien, erscheinen ebenfalls als zu hoch und sind auf Fr. 50.– zu kürzen. Die von der Vorinstanz an die Beschwerdeführerin auszurich- tende Parteientschädigung ist auf Fr. 3’927.– festzusetzen (inklusiv Ausla- gen und Mehrwertsteuerzuschlag im Sinne von Art. 9 VGKE).</w:t>
      </w:r>
    </w:p>
    <w:p>
      <w:r>
        <w:t>(Dispositiv nächste Seite)</w:t>
      </w:r>
    </w:p>
    <w:p>
      <w:r>
        <w:t>E-3483/2020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