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E-3473/2022 vom 29. August 2022</w:t>
      </w:r>
    </w:p>
    <w:p>
      <w:r>
        <w:t>Bundesverwaltungsgericht, 2022-08-29, DE</w:t>
      </w:r>
    </w:p>
    <w:p>
      <w:r>
        <w:rPr>
          <w:b/>
        </w:rPr>
        <w:t xml:space="preserve">Quelle: </w:t>
      </w:r>
      <w:r>
        <w:t>https://mcp.opencaselaw.ch/entscheid/bvger_E-3473_2022</w:t>
      </w:r>
    </w:p>
    <w:p>
      <w:r>
        <w:t>FR: TAF E-3473/2022 du 29 août 2022</w:t>
      </w:r>
    </w:p>
    <w:p>
      <w:r>
        <w:t>IT: TAF E-3473/2022 del 29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 unter Vorbehalt von E. 2.2 - einzutreten. 2.2.1 Die Kognition des Bundesverwaltungsgerichts und die zulässigen Rügen richten sich im Asylbereich nach Art. 106 Abs. 1 AsylG. 2.2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Die Fragen der Anerkennung der Flüchtlingseigenschaft sowie der Gewährung des Asyls bilden nicht Gegenstand des vorliegenden Verfahrens. Insoweit ist auf die Beschwerde nicht einzutreten (vgl. BVGE 2011/9 E. 5).</w:t>
      </w:r>
    </w:p>
    <w:p>
      <w:r>
        <w:rPr>
          <w:b/>
        </w:rPr>
        <w:t>E. 3</w:t>
      </w:r>
    </w:p>
    <w:p>
      <w:r>
        <w:t>Über offensichtlich unbegründete Beschwerden wird in einzelrichterlicher Zuständigkeit mit Zustimmung einer zweiten Richterin beziehungsweise eines zweiten Richters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w:t>
      </w:r>
    </w:p>
    <w:p>
      <w:r>
        <w:t>Die Vorinstanz hat den Beschwerdeführern zusammen mit der angefochtenen Verfügung die editionspflichtigen Akten ausgehändigt. In der Rechtsmitteleingabe wird nicht ansatzweise begründet, in welche Aktenstücke keine Einsicht gewährt worden sein soll. Die Ausführungen in der Beschwerde lassen vielmehr darauf schliessen, dass diese den Beschwerdeführern beziehungsweise ihrer Rechtsvertretung vollständig vorliegen. Zudem weist die vorliegende Beschwerdesache keinen aussergewöhnlichen Umfang oder keine besondere Schwierigkeit auf; eine erneute Zustellung der vorinstanzlichen Akten sowie die Gewährung einer Nachfrist zur Beschwerdeergänzung ist mithin auch nach Art. 53 VwVG nicht angezeigt. Im Übrigen wird letztere in der umfangreichen Beschwerdeverbesserung vom 22. August 2022 auch nicht mehr beantragt. Die Gesuche um Akteneinsicht und Beschwerdeergänzung sind deshalb abzuweisen.</w:t>
      </w:r>
    </w:p>
    <w:p>
      <w:r>
        <w:rPr>
          <w:b/>
        </w:rPr>
        <w:t>E. 5</w:t>
      </w:r>
    </w:p>
    <w:p>
      <w:r>
        <w:t>5.1 In der Beschwerde wird in formeller Hinsicht gerügt, die Vorinstanz habe den Sachverhalt unzureichend abgeklärt und den Untersuchungsgrundsatz sowie die Begründungspflicht verletzt. Diese Rügen sind vorab zu beurteilen, da sie allenfalls geeignet wären, eine Kassation der vorinstanzlichen Verfügung zu bewirken.</w:t>
      </w:r>
    </w:p>
    <w:p>
      <w:r>
        <w:rPr>
          <w:b/>
        </w:rPr>
        <w:t>E. 5.2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5.3</w:t>
      </w:r>
    </w:p>
    <w:p>
      <w:r>
        <w:t>Die Beschwerdeführer machen geltend, die Vorinstanz habe den Sachverhalt in Hinblick auf die für sie individuelle Gefahr in Lettland nicht abgeklärt. Aufgrund der bekannten Missstände und der schweren Erkrankung des Beschwerdeführers 1 sei eine nur unzureichende Prüfung erfolgt, die eine Verletzung des Untersuchungsgrundsatzes darstelle. Die Vorinstanz habe es sodann gänzlich unterlassen, sich mit der aktuellen Situation in Lettland im Allgemeinen, mit dem den Beschwerdeführern widerfahrenen bzw. bevorstehenden Leid vor Ort sowie den medizinischen Problemen auseinanderzusetzen und stattdessen bausteinartige, schematische Formulierungen verwendet, ohne auch nur am Rande auf ihre spezifische Situation einzugehen. Insbesondere habe sie auch die Prüfung der Frage einer Kettenabschiebung von der Schweiz nach Lettland beziehungsweise von Lettland in den Irak unterlassen, obwohl praxisgemäss in der Schweiz eine Wegweisung in den Süd- und Zentralirak nicht zulässig sei. Ein pauschaler Verweis auf theoretisch bestehende völkerrechtliche Verpflichtungen Lettlands reiche bei so klaren Hinweisen auf deren Verletzung nicht aus. Damit sei auch der Anspruch auf rechtliches Gehör gemäss Art. 29 BV verletzt. Entgegen der Vorbringen der Beschwerdeführer hat die Vorinstanz in der angefochtenen Verfügung nachvollziehbar dargelegt, weshalb sie eine Überstellung nach Lettland als zuständigen Dublin-Mitgliedstaat als zulässig erachtet und ist in ihren diesbezüglichen Ausführungen namentlich auch auf die medizinische Versorgung sowie die Einhaltung der völkerrechtlichen Verpflichtungen durch Lettland eingegangen. Die Verfügung enthält auch - im angemessenen Rahmen der Begründung eines Nichteintretensentscheids - eine Darstellung des Sachverhalts, die ausreicht um nachzuvollziehen, weshalb die Vorinstanz zum Schluss kam, es lägen keine Elemente vor, aufgrund derer sie auf das Gesuch hätte eintreten müssen. Alleine der Umstand, dass die Beschwerdeführer eine andere Auffassung, namentlich zur Situation von Asylsuchenden im lettischen Asylsystem, vertreten, begründet noch keine Verletzung von verfahrensrechtlichen Vorschriften. Die Ausführungen der Beschwerdeführer tangieren davon abgesehen denn auch im Wesentlichen materielle und nicht formelle Aspekte. Im Übrigen zeigt die Beschwerdeeingabe, dass eine sachgerechte Anfechtung der vorinstanzlichen Verfügung ohne weiteres möglich war. Die Rüge der Verletzung des Untersuchungsgrundsatzes und der Begründungspflicht ist demgemäss unbegründet.</w:t>
      </w:r>
    </w:p>
    <w:p>
      <w:r>
        <w:rPr>
          <w:b/>
        </w:rPr>
        <w:t>E. 5.4</w:t>
      </w:r>
    </w:p>
    <w:p>
      <w:r>
        <w:t>Die formellen Rügen erweisen sich angesichts dieser Sachlage als unbegründet, weshalb keine Veranlassung besteht, die angefochtene Verfügung aufzuheben und die Sache an die Vorinstanz zurückzuweisen. Das entsprechende Rechtsbegehren ist somit abzuweisen.</w:t>
      </w:r>
    </w:p>
    <w:p>
      <w:r>
        <w:rPr>
          <w:b/>
        </w:rPr>
        <w:t>E. 6</w:t>
      </w:r>
    </w:p>
    <w:p>
      <w:r>
        <w:t>6.1 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6.3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w:t>
      </w:r>
    </w:p>
    <w:p>
      <w:r>
        <w:t>Den Akten zufolge wurden die Beschwerdeführer am 10. August 2021 in Lettland daktyloskopisch erfasst und ihre Asylgesuche registriert. Die zuständigen lettischen Behörden stimmten dem Wiederaufnahmeersuchen des SEM am 1. Juni 2022 zu (vgl. SEM-Akte [...]). Die Beschwerdeführer bestreiten ihren vorgängigen Aufenthalt in Lettland nicht. Die grundsätzliche Zuständigkeit Lettlands ist damit gegeben. Es ist an dieser Stelle darauf hinzuweisen, dass die Dublin-III-VO den Schutzsuchenden nicht das Recht einräumt, den ihren Antrag prüfenden Staat selber auszuwählen (vgl. BVGE 2010/45 E. 8.3).</w:t>
      </w:r>
    </w:p>
    <w:p>
      <w:r>
        <w:rPr>
          <w:b/>
        </w:rPr>
        <w:t>E. 8</w:t>
      </w:r>
    </w:p>
    <w:p>
      <w:r>
        <w:t>Die Beschwerdeführer rügen in ihrer Rechtsmitteleingabe im Wesentlichen, nebst dem gesundheitlichen Zustand insbesondere des Beschwerdeführers 1 habe der Kriegsausbruch in der Ukraine zu einer verschlechterten Situation für Asylsuchende in Lettland geführt; die Lebensbedingungen von Asylsuchenden seien prekär. Die Sach- und Rechtslage für Asylsuchende in Lettland sei aber bereits vor dem Krieg in der Ukraine ungenügend gewesen. Aus diesem Grund sei eine Rückführung dorthin sowohl unzulässig als auch individuell unzumutbar. Sowohl der Beschwerdeführer 1 aufgrund seiner medizinischen Probleme als auch der Beschwerdeführer 2 aufgrund starker Traumatisierung und psychischer Belastung gälten als vulnerable Personen, wobei ihnen in Lettland die notwendige medizinische Versorgung verwehrt würde. Weiter drohe den Beschwerdeführern in Lettland der Wegweisungsvollzug in den Irak, wo eine Inhaftierung des Beschwerdeführers 1 aufgrund seiner politischen Aktivitäten wahrscheinlich und somit auch die Betreuung des Beschwerdeführers 2 nicht gesichert sei.</w:t>
      </w:r>
    </w:p>
    <w:p>
      <w:r>
        <w:rPr>
          <w:b/>
        </w:rPr>
        <w:t>E. 9.1</w:t>
      </w:r>
    </w:p>
    <w:p>
      <w:r>
        <w:t>Lettland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liegen keine Hinweise vor, dass Lettland seinen diesbezüglichen völkerrechtlichen Verpflichtungen nicht nachkommen würde (vgl. Urteil des BVGer D-5620/2021 vom 19. Januar 2022 E. 7.2.1). Es darf auch davon ausgegangen werden, Lettland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bestehen keine Gründe für die Annahme, das Asylverfahren und die Aufnahmebedingungen für Antragsteller in Lettland würden systemische Schwachstellen im Sinne von Art. 3 Abs. 2 Sätze 2 und 3 Dublin-III-VO aufweisen. Mangels anderweitiger, konkreter Hinweise ist daher davon auszugehen, dass die Beschwerdeführer in Lettland ein faires Asyl- und Wegweisungsverfahren unter Beachtung des Non-Refoulement-Gebots erwarten können und eine adäquate Unterstützung und Unterbringung erhalten werden. Die Ausführungen in der Rechtsmitteleingabe sind nicht geeignet, diese Einschätzung in Frage zu stellen.</w:t>
      </w:r>
    </w:p>
    <w:p>
      <w:r>
        <w:rPr>
          <w:b/>
        </w:rPr>
        <w:t>E. 9.2</w:t>
      </w:r>
    </w:p>
    <w:p>
      <w:r>
        <w:t>Die Anwendung von Art. 3 Abs. 2 Dublin-III-VO fällt demnach ausser Betracht.</w:t>
      </w:r>
    </w:p>
    <w:p>
      <w:r>
        <w:rPr>
          <w:b/>
        </w:rPr>
        <w:t>E. 10.1</w:t>
      </w:r>
    </w:p>
    <w:p>
      <w:r>
        <w:t>Eine Anwendung der Ermessensklausel von Art. 17 Abs. 1 Dublin-III-VO respektive der - das Selbsteintrittsrecht im Landesrecht konkretisierenden - Bestimmung von Art. 29a Abs. 3 AsylV 1 ist im vorliegenden Fall ebenfalls nicht angezeigt.</w:t>
      </w:r>
    </w:p>
    <w:p>
      <w:r>
        <w:rPr>
          <w:b/>
        </w:rPr>
        <w:t>E. 10.2</w:t>
      </w:r>
    </w:p>
    <w:p>
      <w:r>
        <w:t>Es gilt die Vermutung, dass Lettland - als Dublin-Mitgliedstaat - bei der Durchführung des Asyl- und Wegweisungsverfahrens die einschlägigen völkerrechtlichen Verpflichtungen respektiert. Die Beschwerdeführer bringen nichts vor, was diese Vermutung widerlegen könnte. So haben sie namentlich kein konkretes und ernsthaftes Risiko dargetan, wonach sich die lettischen Behörden weigern würden, sie wiederaufzunehmen und ihre Anträge auf Schutz unter Einhaltung der Regeln der Verfahrensrichtlinie zu prüfen. Den Akten sind ferner auch keine konkreten Gründe für die Annahme zu entnehmen, Lettland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Beschwerdeführer nicht konkret dargetan, die bei einer Rückführung zu erwartenden Bedingungen in Lettland seien derart schlecht, dass sie zu einer Verletzung von Art. 4 der EU-Grundrechtecharta, Art. 3 EMRK oder Art. 3 FoK führen könnten. Ebenso wenig bestehen fundierte Hinweise darauf, dass Lettland ihnen dauerhaft die ihnen gemäss Aufnahmerichtlinie zustehenden minimalen Lebensbedingungen vorenthalten würde. So haben die Beschwerdeführer denn auch nicht geltend gemacht, sie hätten sich in Lettland in einer existenziellen Notlage befunden.</w:t>
      </w:r>
    </w:p>
    <w:p>
      <w:r>
        <w:rPr>
          <w:b/>
        </w:rPr>
        <w:t>E. 10.3</w:t>
      </w:r>
    </w:p>
    <w:p>
      <w:r>
        <w:t>Bezüglich der medizinischen Probleme des Beschwerdeführers 1, die im Wesentlichen bereits im Irak diagnostiziert worden sind (vgl. Bericht des C._______ Private Hospital in D._______ vom 10. Juni 2021, SEM-Akte [...]), namentlich Morbus Crohn, Ankylosierende Spondylitis, Cervicobrachialgie und Pankreatitis (vgl. Arztberichte vom 23. Mai 2022, 15. Juni 2022 und 16. Juni 2022 [SEM-Akten {...}, {...}, {...}] sowie die Radiologie- und Laborberichte vom 28. und 31. Mai 2022 [SEM-Akten {...}, {...}, {...}]), macht der Beschwerdeführer 1 geltend, hierfür sei ihm in Lettland keine adäquate medizinische Behandlung zugänglich. Es ist eingangs einerseits darauf hinzuweisen, dass der Beschwerdeführer 1 selbst angab, er habe in Lettland drei Mal die Notfallstation aufgesucht, wo ihm jeweils Schmerzmittel gegeben worden seien, und er sei von einem Spezialisten untersucht worden, wobei er sich jedoch dem vorgesehenen MRI aufgrund seiner Ausreise nicht mehr unterzogen habe. Andererseits ist darauf hinzuweisen, dass Lettland über eine ausreichende medizinische Infrastruktur verfügt und verpflichtet ist, Antragstellern die erforderliche medizinische Versorgung, die zumindest die Notversorgung und die unbedingt erforderliche Behandlung von Krankheiten und schweren psychischen Störungen umfasst (Art. 19 Abs. 1 Aufnahmerichtlinie), zugänglich zu machen sowie Antragstellern mit besonderen Bedürfnissen die erforderliche medizinische oder sonstige Hilfe zu gewähren (Art. 19 Abs. 2 Aufnahmerichtlinie). Seit dem Jahr 2018 haben Asylsuchende in Lettland denn auch Anspruch auf medizinische Grundversorgung, und es steht ihnen in diesem Zusammenhang ein kostenloser Übersetzungsdienst zur Verfügung (vgl. Migrant Integration Policy Index 2020, Latvia; https://www.mipex.eu/latvia; zuletzt besucht am 2. Februar 2022). Es liegen - entgegen der Vorbringen der Beschwerdeführer - keine Hinweise vor, wonach das Land seinen Verpflichtungen im Rahmen der Dublin-III-VO in medizinischer Hinsicht nicht nachkommen würde. Bei dieser Sachlage kann ausgeschlossen werden, dass eine Überstellung nach Lettland eine tatsächliche Gefahr (real risk) einer Verletzung von Art. 3 EMRK mit sich bringen würde (vgl. BVGE 2011/9 E. 7 mit Hinweisen auf die Rechtsprechung des EGMR sowie Urteil des EGMR P. gegen Belgien vom 13. Dezember 2016 [Nr. 41738/10]). Sofern im mit der Beschwerdeverbesserung eingereichten Arztbericht vom 10. August 2022 festgehalten wird, die aktuelle Medikation sei nach dem Erachten des neuen Arztes nicht ausreichend und eine Optimierung der Therapie in einem gastroenterologischen Zentrum angezeigt, wird darauf hingewiesen, dass - sollte eine Optimierung der Therapie und/oder eine Konsultation in einem spezialisierten Zentrum in Zukunft tatsächlich objektiv erforderlich sein - nach dem Gesagten davon ausgegangen werden kann, dass eine weitere Abklärung und Behandlung der Beschwerden des Beschwerdeführers 1 auch in Lettland verfügbar ist. Soweit geltend gemacht wird, der Beschwerdeführer 2 sei ebenfalls krank beziehungsweise stark traumatisiert und psychisch belastet, findet diese Behauptung keinen Halt in den vorliegenden Akten. Im Übrigen ist auf das oben Gesagte zu verweisen. Bezüglich der Reisefähigkeit sowie der Durchführung der Überstellung (Art. 31 und Art. 32 Dublin-III-VO) kann im Übrigen ebenfalls auf die zutreffenden Ausführungen der Vorinstanz verwiesen werden.</w:t>
      </w:r>
    </w:p>
    <w:p>
      <w:r>
        <w:rPr>
          <w:b/>
        </w:rPr>
        <w:t>E. 10.4</w:t>
      </w:r>
    </w:p>
    <w:p>
      <w:r>
        <w:t>Schliesslich ist nach dem Gesagten auch davon auszugehen, dass die lettischen Behörden veränderten Umständen Rechnung tragen und - nötigenfalls in Zusammenarbeit mit (inter-)nationalen Unterstützungsorganisationen - eine adäquate Aufnahme gemäss Aufnahmerichtlinie gewährleisten könnten. Die Ausführungen bezüglich der Situation von Lettland als mögliches Ziel weiterer russischer Expansionsbestrebungen sowie einer sehr hohen Zahl von ukrainischen Flüchtlingen sind rein spekulativer Natur (vgl. Urteil des BVGer E-2273/2022 vom 1. Juni 2022 E. 4.2.2).</w:t>
      </w:r>
    </w:p>
    <w:p>
      <w:r>
        <w:rPr>
          <w:b/>
        </w:rPr>
        <w:t>E. 10.5</w:t>
      </w:r>
    </w:p>
    <w:p>
      <w:r>
        <w:t>Auch die sieben mit der ersten Beschwerdeeingabe und die sechs mit der Beschwerdeverbesserung eingereichten Fotos, auf denen mutmasslich der Beschwerdeführer sowie andere Personen in verschiedenen Umgebungen erkennbar sind, vermögen am Gesagten nichts zu ändern, zumal die Fotos ohne jegliche Erläuterungen - abgesehen von der Bezeichnung «Fotos Lettland» in Bezug auf die der Beschwerdeverbesserung beigelegten Fotos - eingereicht wurden.</w:t>
      </w:r>
    </w:p>
    <w:p>
      <w:r>
        <w:rPr>
          <w:b/>
        </w:rPr>
        <w:t>E. 10.6</w:t>
      </w:r>
    </w:p>
    <w:p>
      <w:r>
        <w:t>Mithin liegen keine Umstände vor, die einen - nach Ermessen zu beurteilenden - Selbsteintritt aus humanitären Gründen im Rahmen der Souveränitätsklausel (Art. 29a Abs. 3 AsylV1 i.V.m. Art. 17 Abs. 1 Dublin-III-VO) rechtfertigen würden. Um Wiederholungen zu vermeiden, ist auf die zutreffenden Ausführungen der Vorinstanz zu verweisen, die folgerichtig einen Selbsteintritt ausgeschlossen hat und zu Recht auf das Asylgesuch nicht eingetreten ist. Da die Beschwerdeführer nicht im Besitz einer gültigen Aufenthalts- oder Niederlassungsbewilligung sind, wurde die Überstellung nach Lettland in Anwendung von Art. 44 AsylG ebenfalls zu Recht angeordnet (Art. 32 Bst. a AsylV 1).</w:t>
      </w:r>
    </w:p>
    <w:p>
      <w:r>
        <w:rPr>
          <w:b/>
        </w:rPr>
        <w:t>E. 11</w:t>
      </w:r>
    </w:p>
    <w:p>
      <w:r>
        <w:t>Die Beschwerde ist abzuweisen, soweit darauf einzutreten ist. Damit ist der Antrag auf Gewährung der aufschiebenden Wirkung mit entsprechender Anweisung an die kantonalen Vollzugsbehörden gegenstandslos geworden. Der am 12. August 2022 angeordnete Vollzugsstopp fällt mit dem vorliegenden Urteil dahin.</w:t>
      </w:r>
    </w:p>
    <w:p>
      <w:r>
        <w:rPr>
          <w:b/>
        </w:rPr>
        <w:t>E. 12.1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w:t>
      </w:r>
    </w:p>
    <w:p>
      <w:r>
        <w:rPr>
          <w:b/>
        </w:rPr>
        <w:t>E. 12.2</w:t>
      </w:r>
    </w:p>
    <w:p>
      <w:r>
        <w:t>Bei diesem Ausgang des Verfahrens sind die Kosten von Fr. 750.- (Art. 1-3 des Reglements vom 21. Februar 2008 über die Kosten und Entschädigungen vor dem Bundesverwaltungsgericht [VGKE], SR 173.320.2) den Beschwerdeführern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