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E-346/2016 vom 7. Juli 2017</w:t>
      </w:r>
    </w:p>
    <w:p>
      <w:r>
        <w:t>Bundesverwaltungsgericht, 2017-07-07, DE</w:t>
      </w:r>
    </w:p>
    <w:p>
      <w:r>
        <w:rPr>
          <w:b/>
        </w:rPr>
        <w:t xml:space="preserve">Quelle: </w:t>
      </w:r>
      <w:r>
        <w:t>https://mcp.opencaselaw.ch/entscheid/bvger_E-346_2016</w:t>
      </w:r>
    </w:p>
    <w:p>
      <w:r>
        <w:t>FR: TAF E-346/2016 du 7 juillet 2017</w:t>
      </w:r>
    </w:p>
    <w:p>
      <w:r>
        <w:t>IT: TAF E-346/2016 del 7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 ).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2.2</w:t>
      </w:r>
    </w:p>
    <w:p>
      <w:r>
        <w:t>Die Beschwerdeführerin wird im vorliegenden Verfahren durch zwei Rechtsvertreter vertreten, welche nicht über eine gemeinsame Zustell- adresse verfügen. Gemäss Art. 12 Abs. 2 AsylG werden in solchen Fällen die Mitteilungen der Behörden der von der asylsuchenden Person zuerst bezeichneten bevollmächtigen Person zugestellt.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zahlreiche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 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insoweit gutzuheissen. 5.Bei diesem Ausgang des Verfahrens sind keine Kosten zu erheben (Art. 63 Abs. 1 und 2 VwVG). 6.Nachdem die Beschwerdeführerin mit ihrem Begehren um Aufhebung der angefochtenen Verfügung durchgedrungen ist, ist ihr zulasten der Vor- instanz eine Parteientschädigung für die ihr notwendigerweise erwachsenen Kosten zuzusprechen (Art. 64 Abs. 1 VwVG; Art. 7 ff. des Reglements über die Kosten und Entschädigungen vor dem Bundesverwaltungsgericht vom 21. Februar 2008 [VGKE, SR 173.320.2]). Es wurden keine Kostennoten eingereicht. Indes lässt sich der Aufwand aufgrund der Aktenlage hinlänglich einschätzen. Die Parteientschädigung ist auf insgesamt Fr. 1000.- (inkl. Auslagen) festzusetzen. Die Vorinstanz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