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E-3468/2011 vom 27. November 2013</w:t>
      </w:r>
    </w:p>
    <w:p>
      <w:r>
        <w:t>Bundesverwaltungsgericht, 2013-11-27, DE</w:t>
      </w:r>
    </w:p>
    <w:p>
      <w:r>
        <w:rPr>
          <w:b/>
        </w:rPr>
        <w:t xml:space="preserve">Quelle: </w:t>
      </w:r>
      <w:r>
        <w:t>https://mcp.opencaselaw.ch/entscheid/bvger_E-3468_2011</w:t>
      </w:r>
    </w:p>
    <w:p>
      <w:r>
        <w:t>FR: TAF E-3468/2011 du 27 novembre 2013</w:t>
      </w:r>
    </w:p>
    <w:p>
      <w:r>
        <w:t>IT: TAF E-3468/2011 del 27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Beschwerden und entscheidet auf dem Gebiet des Asyls - in der Regel und auch vorliegend -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 legitimiert (Art. 105 und Art. 108 Abs. 1 AsylG, Art. 48 Abs. 1 sowie Art. 52 VwVG). Auf die Beschwerden sind einzutreten.</w:t>
      </w:r>
    </w:p>
    <w:p>
      <w:r>
        <w:rPr>
          <w:b/>
        </w:rPr>
        <w:t>E. 2</w:t>
      </w:r>
    </w:p>
    <w:p>
      <w:r>
        <w:t>Die Beschwerden sind im Verfahren einzelrichterlicher Zuständigkeit mit Zustimmung einer zweiten Richterin zu behandeln, weil sie sich im Ergebnis als offensichtlich begründet erweisen (Art. 111 Bst. e AsylG).</w:t>
      </w:r>
    </w:p>
    <w:p>
      <w:r>
        <w:rPr>
          <w:b/>
        </w:rPr>
        <w:t>E. 3.1</w:t>
      </w:r>
    </w:p>
    <w:p>
      <w:r>
        <w:t>Das BFM ist bei Asylverfahren,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Dieses Vorgehen geht auf im August 2013 bekannt gewordene Ereignisse zurück, bei denen zwei abgewiesene sri-lankische Asylsuchende nach ihrer Rückkehr aus der Schweiz verhaftet worden seien. Das BFM stellte zudem in Aussicht, die beiden Vorfälle und die Frage einer allfälligen Veränderung der allgemeinen Situation und insbesondere die Lage der Rückkehrenden in Sri Lanka vertieft abzuklären. In diesem Zusammenhang ersuchte es das Amt des Hohen Flüchtlingskommissars der Vereinten Nationen (UNHCR), die beiden Asylverfahren einer Qualitätsprüfung zu unterziehen und anschliessend auch die Dossiers jener Personen zu beurteilen, deren Gesuche rechtskräftig abgelehnt worden sind und die mit der Rückführung nach Sri Lanka hätten rechnen müssen (vgl. Medienmitteilung des BFM vom 3. Oktober 2013 und 4. September 2013).</w:t>
      </w:r>
    </w:p>
    <w:p>
      <w:r>
        <w:rPr>
          <w:b/>
        </w:rPr>
        <w:t>E. 3.2</w:t>
      </w:r>
    </w:p>
    <w:p>
      <w:r>
        <w:t>Die Vorinstanz geht damit selbst davon aus, dass der Sachverhalt, wie er den Verfügungen des BFM vom 18. Mai 2011 zugrunde liegt, offensichtlich nicht vollständig festgestellt ist; denn es besteht kein Zweifel, dass eine neue Lagebeurteilung vor Ort sich auf die konkrete Feststellung des rechtserheblichen Sachverhalts auswirken kann, sei es im Flüchtlings- und Asylpunkt oder im Wegweisungsvollzugspunkt.</w:t>
      </w:r>
    </w:p>
    <w:p>
      <w:r>
        <w:rPr>
          <w:b/>
        </w:rPr>
        <w:t>E. 3.3</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Fehlende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(vgl. Urteil E-4157/2012 E. 4.6 S. 8).</w:t>
      </w:r>
    </w:p>
    <w:p>
      <w:r>
        <w:rPr>
          <w:b/>
        </w:rPr>
        <w:t>E. 3.4</w:t>
      </w:r>
    </w:p>
    <w:p>
      <w:r>
        <w:t>Die vorliegend notwendigen Abklärungen stellen eine relativ aufwändige und umfangreiche Beweiserhebung dar, weshalb die Kassation der angefochtenen Verfügungen angezeigt ist.</w:t>
      </w:r>
    </w:p>
    <w:p>
      <w:r>
        <w:rPr>
          <w:b/>
        </w:rPr>
        <w:t>E. 3.5</w:t>
      </w:r>
    </w:p>
    <w:p>
      <w:r>
        <w:t>Die Beschwerden sind demnach insoweit gutzuheissen. Die angefochtenen Verfügungen sind aufzuheben, und die Sache ist zur vollständigen Sachverhaltsfeststellung sowie zu neuer Entscheidung an die Vorinstanz zurückzuweisen; die vorinstanzlichen Akten sowie Kopien der wesentlichen Aktenstücke der Beschwerdedossiers, welche ebenfalls Prozessstoff des vorinstanzlichen Verfahrens bilden werden, sind dem BFM zuzustellen.</w:t>
      </w:r>
    </w:p>
    <w:p>
      <w:r>
        <w:rPr>
          <w:b/>
        </w:rPr>
        <w:t>E. 3.6</w:t>
      </w:r>
    </w:p>
    <w:p>
      <w:r>
        <w:t>Auf die individuellen formalen und inhaltlichen Vorbringen der Beschwerdeführenden ist bei diesem Verfahrensgang nicht weiter einzugehen.</w:t>
      </w:r>
    </w:p>
    <w:p>
      <w:r>
        <w:rPr>
          <w:b/>
        </w:rPr>
        <w:t>E. 4.1</w:t>
      </w:r>
    </w:p>
    <w:p>
      <w:r>
        <w:t>Bei diesem Ausgang des Verfahrens sind keine Kosten zu erheben (Art. 63 Abs. 1 und 2 VwVG). Die Gesuche um Gewährung der unentgeltlichen Prozessführung im Sinn des Art. 65 Abs. 1 VwVG sind demnach gegenstandslos geworden.</w:t>
      </w:r>
    </w:p>
    <w:p>
      <w:r>
        <w:rPr>
          <w:b/>
        </w:rPr>
        <w:t>E. 4.2</w:t>
      </w:r>
    </w:p>
    <w:p>
      <w:r>
        <w:t>Den vertretenen Beschwerdeführenden ist angesichts ihres faktischen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4.3</w:t>
      </w:r>
    </w:p>
    <w:p>
      <w:r>
        <w:t>Der Rechtsvertreter hat keine Kostennote zu den Akten gereicht, weshalb die notwendigen Parteikosten (unter Berücksichtigung der massgebenden Bemessungsfaktoren, vgl. Art. 9-13 VGKE) aufgrund der Akten für beide Verfahren auf insgesamt Fr. 2'000.- (inkl. aller Auslagen und Mehrwertsteuer) festzusetzen sind (Art. 14 Abs. 2 Satz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