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E-3467/2006 vom 3. Juli 2008</w:t>
      </w:r>
    </w:p>
    <w:p>
      <w:r>
        <w:t>Bundesverwaltungsgericht, 2008-07-03, FR</w:t>
      </w:r>
    </w:p>
    <w:p>
      <w:r>
        <w:rPr>
          <w:b/>
        </w:rPr>
        <w:t xml:space="preserve">Quelle: </w:t>
      </w:r>
      <w:r>
        <w:t>https://mcp.opencaselaw.ch/entscheid/bvger_E-3467_2006</w:t>
      </w:r>
    </w:p>
    <w:p>
      <w:r>
        <w:t>FR: TAF E-3467/2006 du 3 juillet 2008</w:t>
      </w:r>
    </w:p>
    <w:p>
      <w:r>
        <w:t>IT: TAF E-3467/2006 del 3 luglio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par le Tribunal administratif fédéral, entré en fonction le 1er janvier 2007, dans la mesure où il est compétent. Tel est le cas en l'espèce. Le nouveau droit de procédure s'applique (art. 53 al. 2 LTAF).</w:t>
      </w:r>
    </w:p>
    <w:p>
      <w:r>
        <w:rPr>
          <w:b/>
        </w:rPr>
        <w:t>E. 1.3</w:t>
      </w:r>
    </w:p>
    <w:p>
      <w:r>
        <w:t>Les recourants ont qualité pour recourir. Présentés dans la forme et les délais prescrits par la loi, les recours sont recevables (48, 50 et 52 PA).</w:t>
      </w:r>
    </w:p>
    <w:p>
      <w:r>
        <w:rPr>
          <w:b/>
        </w:rPr>
        <w:t>E. 2.1</w:t>
      </w:r>
    </w:p>
    <w:p>
      <w:r>
        <w:t>Les recourants n'ont pas recouru contre les décisions de l'ODM en tant qu'elles rejettent leur demande d'asile, de sorte que, sous cet angle, elles ont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 A cet égard, il y a lieu de laisser ouvert le grief de A._______ exprimé dans son recours du 24 juin 2004 (cf. let C.c supra), selon lequel l'ODM aurait violé le principe de l'unité de la famille qui interdit en général le renvoi en ordre dispersé des membres d'une même famille. En effet, dit recours lui a permis, ex lege, de demeurer en Suisse jusqu'au terme de la procédure (cf. art. 42 LAsi). Par ailleurs, l'autorité de céans statue dans un même arrêt sur le recours de A._______ et sur celui interjeté par sa femme et ses enfants, de sorte que l'exécution du renvoi des membres de la famille pourra avoir lieu simultanément, pour autant que cette mesure soit considérée comme licite, possible et raisonnablement exigible (cf. infra).</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 de 1931, RS 1 113).</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A titre préliminaire, il convient de noter que les empêchements à l'exécution du renvoi (illicéité, inexigibilité ou impossibilité) prévus par l'art. 83 al. 2 à 4 LEtr sont de nature alternative : il suffit que l'un deux soit réalisé pour que le renvoi soit inexécutable (cf. Jurisprudence et informations de la Commission suisse de recours en matière d'asile [JICRA] 2006 n° 6 consid. 4.2 p. 54s.).</w:t>
      </w:r>
    </w:p>
    <w:p>
      <w:r>
        <w:rPr>
          <w:b/>
        </w:rPr>
        <w:t>E. 5.2</w:t>
      </w:r>
    </w:p>
    <w:p>
      <w:r>
        <w:t>En l'espèce, c'est sur la question de l'exigibilité de l'exécution du renvoi que l'autorité de céans portera son examen.</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(Gabriellle Steffen, Droit aux soins et rationnement, Berne 2002, p. 81s. et 87 ; cf. JICRA 2003 no 24 consid. 5b p. 157s.).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no 24 précitée, JICRA 1993 no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157s.).</w:t>
      </w:r>
    </w:p>
    <w:p>
      <w:r>
        <w:rPr>
          <w:b/>
        </w:rPr>
        <w:t>E. 6.2</w:t>
      </w:r>
    </w:p>
    <w:p>
      <w:r>
        <w:t>Il convient donc d'examiner, au regard des critères explicités ci-dessus, si les recourants sont en droit de conclure au caractère inexigible de l'exécution du renvoi compte tenu, plus particulièrement, de leur état de santé et de la situation générale prévalant au Kosovo.</w:t>
      </w:r>
    </w:p>
    <w:p>
      <w:r>
        <w:rPr>
          <w:b/>
        </w:rPr>
        <w:t>E. 6.3</w:t>
      </w:r>
    </w:p>
    <w:p>
      <w:r>
        <w:t>En l'occurrence, le Kosovo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6.4</w:t>
      </w:r>
    </w:p>
    <w:p>
      <w:r>
        <w:t>Sur le plan personnel, il est manifeste, au vu des rapports médicaux versés au dossier, que C._______ et D._______, qui souffrent tous les deux d'un état de stress post-traumatique, ont été traumatisés par les événements qu'ils ont vécus dans leur pays d'origine durant la guerre. En l'absence d'un traitement médicamenteux et d'un suivi psychothérapeutique régulier et intensif (deux à quatre séances par mois, parfois deux séances par semaines) initiés dès leur arrivée en Suisse, les médecins ont émis un pronostic défavorable. A leur avis, le refoulement vers le Kosovo de D._______ serait en outre susceptible de réveiller brusquement chez elle le souvenir ou la reviviscence du traumatisme et ainsi déclencher une crise d'angoisse importante, une attaque de panique ou des réactions agressives, le risque suicidaire étant jugé très élevé. Dans ces circonstances, la poursuite des traitements instaurés s'avère essentielle. Selon les informations à disposition, il est vrai que des efforts ont été accomplis au Kosovo dans le domaine de la santé, que l'infrastructure médicale de ce pays s'est sensiblement améliorée, que les affections psychiques peuvent y être soignées et que les médicaments utiles, en tous les cas sous leur forme générique, y sont, en général, disponibles (leur gratuité n'étant toutefois pas assurée). L'approvisionnement en médicaments n'est, toutefois, pas toujours garanti. Cependant, la capacité des hôpitaux est insuffisante au Kosovo,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Les personnes touchées par des affections psychiques graves, tels que les états de stress post-traumatiques chroniques, qui requièrent une thérapie spécifique de longue durée, ne peuvent ainsi souvent pas recevoir des soins appropriés (United Nations Kosovo Team [UNKT], Initial Observations on Gaps in Health Care Services in Kosovo, janvier 2007 ; Hans Wolfgang Gierlichs, Zur psychiatrischen Versorgung im Kosovo, Zeitschrift für Ausländerrecht (ZAR) 8/2006, p. 277-280 ; Mission d'administration intérimaire des Nations Unies au Kosovo (MINUK), Mental Health Service Capacities in Kosovo, mars 2005 ; MINUK, Availability of Adequate Medical Treatment for Post-Traumatic Stress Disorder [PTSD] in Kosovo, janvier 2005). Il y a aussi lieu de tenir compte que A._______ et B._______ souffrent de problèmes de santé physiques et psychiques qui nécessitent des traitements adaptés (cf. let. G supra). Ils ne seront probablement pas en mesure de trouver un emploi à court terme leur permettant non seulement de subvenir à leurs besoins vitaux et à ceux de leur enfants, mais également d'assurer des soins couteux mais néanmoins indispensables. En effet, B._______, pour autant que son état de santé lui permette d'exercer une activité lucrative, n'a ni formation ni expérience professionnelle et serait confrontée à d'insurmontables difficultés pour trouver un emploi dans un contexte socio-économique déjà très difficile. A._______, eu égard à l'accident de travail de 2 mars 2007, ne pourra plus exercer son métier de maçon ni d'autres activités physiquement exigeantes. Il ne possède en outre pas d'autres expériences ou qualifications professionnelles. Enfin, le dossier ne permet pas de conclure que la famille des recourants au Kosovo serait en mesure de loger sept personnes supplémentaires, même temporairement et, surtout, de subvenir aux besoins économiques de ceux-ci, eu égard en particulier aux soins que certains d'entre eux nécessitent. Rien ne permet non plus de penser que les recourants pourraient bénéficier d'une aide financière importante de la part des autres membres de leur famille résidant en Suisse, notamment de la part des parents (cf. D-6830/2006) et d'un frère (cf. E-7148/2006) de B._______, lesquels sont au bénéfice d'une admission provisoire en Suisse pour raisons médicales.</w:t>
      </w:r>
    </w:p>
    <w:p>
      <w:r>
        <w:rPr>
          <w:b/>
        </w:rPr>
        <w:t>E. 6.5</w:t>
      </w:r>
    </w:p>
    <w:p>
      <w:r>
        <w:t>Dans ces circonstances, force est d'admettre que les recourants seraient confrontés à des difficultés plus importantes que celles que rencontrent en général les personnes résidant ou retournant au Kosovo. La pesée des intérêts en présence fait prévaloir l'aspect humanitaire sur l'intérêt public à l'exécution du renvoi. En conséquence, l'exécution du renvoi de la famille Krasniqi n'est pas raisonnablement exigible et il convient de les mettre au bénéfice de l'admission provisoire.</w:t>
      </w:r>
    </w:p>
    <w:p>
      <w:r>
        <w:rPr>
          <w:b/>
        </w:rPr>
        <w:t>E. 7.1</w:t>
      </w:r>
    </w:p>
    <w:p>
      <w:r>
        <w:t>Vu l'issue de la procédure, il n'est pas perçu de frais.</w:t>
      </w:r>
    </w:p>
    <w:p>
      <w:r>
        <w:rPr>
          <w:b/>
        </w:rPr>
        <w:t>E. 7.2</w:t>
      </w:r>
    </w:p>
    <w:p>
      <w:r>
        <w:t>Conformément à l'art. 7 al. 1 du règlement du 21 février 2008 concernant les frais, dépens et indemnités fixés par le Tribunal administratif fédéral (FITAF, RS 173.320.2), les recourants, qui ont eu gain de cause, ont droit à des dépens pour les frais nécessaires causés par le litige. En l'absence d'un décompte de prestations, dans la mesure également où la mandataire des recourants n'est intervenue que tardivement dans la procédure et qu'elle n'a rédigé que trois brefs courriers auxquels étaient annexés des rapports médicaux et des procurations, le Tribunal fixe l'indemnité due, à titre de dépens, à Fr. 350.-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