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E-3465/2006 vom 23. März 2009</w:t>
      </w:r>
    </w:p>
    <w:p>
      <w:r>
        <w:t>Bundesverwaltungsgericht, 2009-03-23, DE</w:t>
      </w:r>
    </w:p>
    <w:p>
      <w:r>
        <w:rPr>
          <w:b/>
        </w:rPr>
        <w:t xml:space="preserve">Quelle: </w:t>
      </w:r>
      <w:r>
        <w:t>https://mcp.opencaselaw.ch/entscheid/bvger_E-3465_2006</w:t>
      </w:r>
    </w:p>
    <w:p>
      <w:r>
        <w:t>FR: TAF E-3465/2006 du 23 mars 2009</w:t>
      </w:r>
    </w:p>
    <w:p>
      <w:r>
        <w:t>IT: TAF E-3465/2006 del 23 marzo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am 31. Dezember 2006 bei der ARK hängigen Rechtsmittel übernommen und wendet dabei das neue Verfahrensrecht an (vgl. Art. 53 Abs. 2 VGG).</w:t>
      </w:r>
    </w:p>
    <w:p>
      <w:r>
        <w:rPr>
          <w:b/>
        </w:rPr>
        <w:t>E. 1.3</w:t>
      </w:r>
    </w:p>
    <w:p>
      <w:r>
        <w:t>Die Beschwerden sind form- und fristgerecht eingereicht. Die Beschwerdeführenden sind durch die angefochtene Verfügung besonders berührt und haben ein schutzwürdiges Interesse an deren Aufhebung beziehungsweise Änderung. Sie sind daher zur Einreichung der Be-schwerde legitimiert (Art. 6 AsylG i.V.m. Art. 48 Abs. 1 und Art. 52 VwVG). Auf die Beschwerden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Das Bundesamt brachte zur Begründung seines ablehnenden Entscheids vom 17. März 2004 vor, dass kaum jemand in Pakistan wegen der Zugehörigkeit zur Ahmadiyya-Bewegung einer asylrelevanten Ver-folgung ausgesetzt sei und auch nicht von einer systematischen Verfol-gung der Ahmadis gesprochen werden könne. Der Beschwerdeführer mache nur Nachteile geltend, die auf lokal oder regional beschränkte Verfolgungsmassnahmen zurückzuführen seien und denen er sich durch den Wegzug in einen anderen Teil des Heimatlandes entziehen könne. Die Vorbringen würden den Anforderungen an die Flüchtlings-eigenschaft gemäss Art. 3 AsylG nicht standhalten. Demzufolge erfülle er die Flüchtlingseigenschaft nicht, so dass das Asylgesuch abzuleh-nen sei. Auf eine Prüfung allfälliger Unglaubhaftigkeitselemente in den Vorbringen wurde verzichtet.</w:t>
      </w:r>
    </w:p>
    <w:p>
      <w:r>
        <w:rPr>
          <w:b/>
        </w:rPr>
        <w:t>E. 5</w:t>
      </w:r>
    </w:p>
    <w:p>
      <w:r>
        <w:t>Das Bundesverwaltungsgericht ist an die rechtliche Begründung der vorinstanzlichen Verfügung nicht gebunden, weshalb es eine angefochtene Verfügung im Ergebnis belassen, dieser aber eine andere Be-gründung zu Grunde legen kann (Motivsubstitution). Die Möglichkeit der Motivsubstitution ist im Grundsatz der Rechtsanwendung von Am-tes wegen begründet (vgl. Fritz Gygi, Bundesverwaltungsrechtspflege, 2. Auflage, Bern 1983, S. 212; Alfred Kölz/ Isabelle Häner, Verwal-tungsverfahren und Verwaltungsrechtspflege des Bundes, 2. Auflage, Zürich 1998, S. 240). Das Bundesverwaltungsgericht macht im vorlie-genden Fall von der Möglichkeit der Motivsubstitution Gebrauch und würdigt die Vorbringen der Beschwerdeführerenden nachstehend unter dem Gesichtspunkt der Glaubhaftigkeit nach Art. 7 AsylG.</w:t>
      </w:r>
    </w:p>
    <w:p>
      <w:r>
        <w:rPr>
          <w:b/>
        </w:rPr>
        <w:t>E. 5.1</w:t>
      </w:r>
    </w:p>
    <w:p>
      <w:r>
        <w:t>Die Vorbringen des Beschwerdeführers enthalten in zentralen Punkten Ungereimtheiten und Widersprüche. In seiner Beschwerde vom 19. April 2004 liess er ausführen, aufgrund der von ihm geschil-derten Umstände müsse davon ausgegangen werden, dass gegen ihn ein sogenannter First Information Report (FIR) bestehe, weshalb er im Falle einer Rückkehr mit grösster Wahrscheinlichkeit einer durch Art. 3 der Konvention vom 4. November 1950 zum Schutze der Menschen-rechte und Grundfreiheiten (EMRK, SR 0.101) verbotenen Strafe oder Behandlung ausgesetzt werde (vgl. Beschwerde, S. 5 ff.). Obschon der Beschwerdeführer in seiner Rechtsmitteleingabe das Nachreichen des entsprechenden FIR in Aussicht stellte (vgl. Beschwerde, S. 4), sind bis heute keine Unterlagen eingereicht worden, welche geeignet wä-ren, den von ihm behaupteten Sachverhalt zu belegen. In ihrer Stel-lungnahme vom 2. März 2009 führen die Beschwerdeführenden dies-bezüglich aus, es bestehe offenbar kein FIR gegen den Beschwerde-führer, weshalb auch keine zusätzlichen Abklärungen im Heimatstaat eingeleitet worden seien. Das heisse zwar, dass er bei einer Rückkehr nicht wegen eines FIR verhaftet würde, was aber nichts daran ändere, dass er seinerzeit tatsächlich verhaftet worden sei und erneut mit ei-ner Verhaftung rechnen müsse. Der Beschwerdeführer hat sodann an-lässlich der Erstbefragung zu Protokoll gegeben, der Schlepper habe bei der Ausreise in Lahore seinen (des Beschwerdeführers, Anm. BVGer) Reisepass vorgewiesen. Später habe der Schlepper andere Dokumente vorgewiesen, welche genau, wisse er nicht. Gemeinsam seien sie mit dem Flugzeug - ohne umzusteigen - erst nach Frankreich und dann weiter nach Rom geflogen (vgl. Protokoll der Erstbefragung, S. 5). Dazu bringen die Beschwerdeführenden in ihrer Stellungnahme vom 2. März 2009 vor, die Aussage über die Verwendung des eigenen Reisepasses habe sich einzig auf die Eingangskontrolle beim Flugha-fen Lahore bezogen. Beim Check-in und bei der Passkontrolle seien gefälschte Papiere verwendet worden und nicht der auf den Namen des Beschwerdeführers lautende Pass. Diese Ausführungen decken sich jedoch nicht mit den Aussagen des Beschwerdeführers anlässlich der Erstbefragung. Angesichts der von ihm geschilderten Verfolgungs-situation ist für das Bundesverwaltungsgericht sodann nicht nachvoll-ziehbar, weshalb er sich anlässlich der Eingangskontrolle mit seinem eigenen Reisepass ausgewiesen - und sich dadurch einem Ent-deckungsrisiko ausgesetzt - haben will, obwohl der Schlepper offenbar andere Papiere für ihn bei sich hatte. Zudem wäre auch das Risiko, bei einer Personenkontrolle die echten Papiere des Beschwerdeführers zu entdecken, beträchtlich gewesen. Der Beschwerdeführer machte schliesslich im Verlaufe des erstinstanzlichen Asylverfahrens geltend, er sei am 24. März 2002 verhaftet und während einer Woche inhaftiert und misshandelt worden (vgl. Protokoll der Erstbefragung, S. 4 und Protokoll der kantonalen Anhörung, S. 6) und stellte einen entspre-chenden ärztlichen Bericht über die geltend gemachten Folterspuren in Aussicht (vgl. Beschwerde, S. 4). In der Folge wurde indessen kein entsprechender Bericht zu den Akten gereicht. Hierzu bringen die Be-schwerdeführenden in ihrer Stellungnahme vom 2. März 2009 vor, der Beschwerdeführer habe seine Folterverletzungen nicht weiter abklären lassen, weil diese zu unspezifisch gewesen seien, als dass ein Arzt irgendwelche triftigen Aussagen hätte machen können.</w:t>
      </w:r>
    </w:p>
    <w:p>
      <w:r>
        <w:rPr>
          <w:b/>
        </w:rPr>
        <w:t>E. 5.2</w:t>
      </w:r>
    </w:p>
    <w:p>
      <w:r>
        <w:t>Die Beschwerdeführerin ihrerseits setzt sich mit ihren Aussagen teilweise in Widerspruch zu den Vorbringen des Beschwerdeführers oder ihre Schilderungen widersprechen den gesicherten Erkenntnissen des Bundesverwaltungsgerichts. So brachte sie im Verlaufe des erstinstanzlichen Asylverfahrens vor, sie sei nach der Ausreise des Beschwerdeführers zu dessen Eltern und Geschwister nach D._______ gezogen (vgl. Protokoll der Erstbefragung, S. 4). Ihr Schwiegervater habe ihr erzählt, dass die Mullahs sie überall finden könnten, weshalb ihre Schwiegereltern sie schliesslich ins Ausland geschickt hätten (vgl. a.a.O., S. 4). Nachdem sie ihren Heimatstaat im August 2003 verlas-sen habe, seien auch ihre Schwiegereltern umgezogen (vgl. Protokoll der kantonalen Anhörung, S.12). Im Widerspruch dazu sagte der Be-schwerdeführer anlässlich der kantonalen Befragung aus, sein Vater habe das Haus ebenfalls bereits am (...) 2002 verlassen (vgl. Pro-tokoll der kantonalen Anhörung, S. 6). Die Beschwerdeführerin sagte zudem aus, sie habe den Beschwerdeführer am (...) 2002 nach Brauch geheiratet (vgl. Protokoll der Erstbefragung, S. 4 und Protokoll der kantonalen Anhörung, S. 5), wogegen der Beschwerdeführer an-lässlich der Erstbefragung vom 23. Juli 2002 zu Protokoll gab, er sei ledig, aber einer Frau vergeben (vgl. Protokoll der Erstbefragung, S. 1). Die Beschwerdeführerin war denn auf Vorhalt der Aussagen des Be-schwerdeführers auch nicht in der Lage, den Widerspruch plausibel zu erklären (vgl. Protokoll der kantonalen Anhörung, S. 5 f.). Zu den Um-ständen ihrer Ausreise aus dem Heimatstaat sagte die Beschwerde-führerin aus, sie sei mit einer auf ihren Namen lautenden Identitäts-karte, welche sie vom Schlepper erhalten habe, über den Flughafen von Lahore ausgereist (vgl. Protokoll der Erstbefragung, S. 3 und 6 sowie Protokoll der kantonalen Anhörung, S. 7). Es kann ihr indessen nicht geglaubt werden, sie habe sich sowohl bei der Ausreise aus ihrem Heimatstaat als auch bei der weiteren Reise in Europa lediglich mit einer Identitätskarte ausgewiesen, da hierfür ein Reisepass zwin-gend erforderlich ist. Die von der Beschwerdeführerin eingereichte Identitätskarte wurde am (...) 2003 in Gujranwala ausgestellt. Ge-mäss gesicherten Erkenntnissen des Bundesverwaltungsgerichts wird in Pakistan seit dem 15. Juni 2000 die neue, maschinenlesbare Identi-tätskarte, die so genannte "Computerized National Identity Card" (CNIC) ausgestellt, welche sich von der alten "National Identity Card" (NIC) deutlich unterscheidet. Die NIC wurde am 1. Juli 2002 offiziell aus dem Verkehr gezogen. Bei der von der Beschwerdeführerin ein-gereichten Identitätskarte handelt es sich - obwohl angeblich nach dem 1. Juli 2002 ausgestellt - um eine NIC. Gemäss ihren Angaben habe der "Agent" die Identitätskarte für sie besorgt und sie wisse nicht, ob diese echt sei (vgl. Protokoll der Erstbefragung, S. 3). Angesichts dieser Umstände hat das Bundesverwaltungsgericht erhebliche Zweifel an der Echtheit des eingerichten Identitätspapiers und der angegebenen Identität der Beschwerdeführerin. Es geht denn auch da-von aus, die Beschwerdeführerin habe für ihre Ausreise authentische Identitätspapiere verwendet, welche sie jedoch in Verletzung ihrer ge-setzlich verankerten Mitwirkungspflicht gemäss Art. 8 Abs. 1 Bst. a und b AsylG bis heute nicht abgegeben hat.</w:t>
      </w:r>
    </w:p>
    <w:p>
      <w:r>
        <w:rPr>
          <w:b/>
        </w:rPr>
        <w:t>E. 5.3</w:t>
      </w:r>
    </w:p>
    <w:p>
      <w:r>
        <w:t>Der Beschwerdeführer begründete sein Asylgesuch im Wesentlichen mit der durch seine Zugehörigkeit zur Ahmadiyya-Gemeinschaft bedingten Verfolgungssituation im Heimatstaat. Die Beschwerdeführerin ihrerseits brachte keine eigenen Asylgründe vor, sondern machte als Asylgrund eine so genannte Reflexverfolgung geltend. Zwar ist bekannt, dass die Mitglieder der Glaubensgemeinschaft der Ahmadi zum Teil schwerwiegenden Anfeindungen ausgesetzt sind und es gelegent-lich zu massiven Übergriffen kommt. Die einzelnen Mitglieder der Glaubensgemeinschaft werden jedoch von den Behörden nicht syste-matisch verfolgt. Gemäss konstanter Rechtsprechung der ARK, welche vom Bundesverwaltungsgericht übernommen wurde, ist nicht von einer Kollektivverfolgung der Ahmadi in dem Sinne auszugehen, dass jedes einzelne Mitglied der Ahmadiyya-Gemeinschaft Anlass hat, individuell eine Verfolgung befürchten zu müssen. Mithin kann nicht von der allge-meinen Lage der Ahmadi generell auf eine flüchtlingsrelevante Verfol-gungssituation des Einzelnen geschlossen werden kann. Zu prüfen ist somit, ob die Beschwerdeführenden individueller staatlicher Verfolgung ausgesetzt waren beziehungsweise ob ihre Furcht, in Zukunft einer solchen Verfolgung ausgesetzt zu werden, objektiv begründet er-scheint (vgl. Entscheidungen und Mitteilungen der Schweizerischen Asylrekurskommission [EMARK] 2002 Nr. 3).</w:t>
      </w:r>
    </w:p>
    <w:p>
      <w:r>
        <w:rPr>
          <w:b/>
        </w:rPr>
        <w:t>E. 5.4</w:t>
      </w:r>
    </w:p>
    <w:p>
      <w:r>
        <w:t>Angesichts der in den vorstehenden Erwägungen 5.1 und 5.2 auf-geführten Ungereimtheiten und Widersprüche gelingt es den Be-schwerdeführenden vorliegend nicht, eine bereits erlittene, gezielt ge-gen ihre Person gerichtete und asylrelevante Verfolgung im Heimat-staat glaubhaft zu machen. Auf Grund der Tatsache, dass sie ihren Heimatstaat unbehelligt und unter Verwendung eigener Identitätspa-piere über den Flughafen von Lahore verlassen konnten, geht das Bundesverwaltungsgericht sodann nicht davon aus, die Beschwerde-führenden hätten im Falle einer Rückkehr in den Heimatstaat mit asyl-relevanten Verfolgungsmassnahmen zu rechnen. Dies gilt umso mehr, als gegen den Beschwerdeführer - eigenen Angaben zufolge - offen-bar kein FIR besteht, es sich bei ihm um keine öffentlich bekannte Person handelt und er innerhalb der Ahmadiyya-Gemeinschaft keinem Führungsgremium angehört. Insgesamt erscheint somit die Furcht vor zukünftiger Verfolgung objektiv als nicht begründet. Unter diesen Umständen erübrigt es sich, auf die weiteren Vorbringen in den Beschwerden oder auf die auf Beschwerdeebene eingereichten Beweismittel einzugehen, da diese am Ergebnis nichts ändern können.</w:t>
      </w:r>
    </w:p>
    <w:p>
      <w:r>
        <w:rPr>
          <w:b/>
        </w:rPr>
        <w:t>E. 5.5</w:t>
      </w:r>
    </w:p>
    <w:p>
      <w:r>
        <w:t>Zusammenfassend ist festzuhalten, dass die Vorbringen der Beschwerdeführenden den Anforderungen an die Glaubhaftigkeit gemäss Art. 7 AsylG nicht standhalten. Es gelingt ihnen nicht, die Flüchtlings-eigenschaft nachzuweisen oder zumindest glaubhaft zu machen, wes-halb das Bundesamt die Asylgesuche zu Recht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 verfügen weder über eine ausländerrechtliche Aufenthaltsbewilligung noch über einen Anspruch auf Erteilung einer solchen. Die Wegweisung wurde demnach zu Recht angeordnet (Art. 44 Abs. 1 AsylG; EMARK 2001 Nr. 21).</w:t>
      </w:r>
    </w:p>
    <w:p>
      <w:r>
        <w:rPr>
          <w:b/>
        </w:rPr>
        <w:t>E. 6.4</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6.5</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6.6</w:t>
      </w:r>
    </w:p>
    <w:p>
      <w:r>
        <w:t>Die Vorinstanz wies in ihrer angefochtenen Verfügung zutreffend darauf hin, dass der Grundsatz der Nichtrückschiebung nur Personen schützt, die die Flüchtlingseigenschaft erfüllen. Da es den Beschwer-deführern nicht gelungen ist, eine asylrechtlich erhebliche Gefährdung nachzuweisen oder glaubhaft zu machen, kann das in Art. 5 AsylG verankerte Prinzip des flüchtlingsrechtlichen Non-Refoulements im vorliegenden Verfahren keine Anwendung finden. Eine Rückkehr der Beschwerdeführer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6.7</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im Sinne von Art. 3 EMRK festgestellt, ist - unter Vorbehalt von Art. 83 Abs. 7 AuG - die vorläufige Aufnahme zu ge-währen (vgl. Botschaft zum Bundesgesetz über die Ausländerinnen und Ausländer vom 8. März 2002, BBl 2002 3818).</w:t>
      </w:r>
    </w:p>
    <w:p>
      <w:r>
        <w:rPr>
          <w:b/>
        </w:rPr>
        <w:t>E. 6.8</w:t>
      </w:r>
    </w:p>
    <w:p>
      <w:r>
        <w:t>Das Bundesverwaltungsgericht trägt - in Fortführung der in EMARK 2002 Nr. 3 entwickelten Rechtsprechung - der besonderen Situation der Ahmadi in Pakistan dadurch Rechnung, dass bereits die Zugehörigkeit zu dieser Glaubensgemeinschaft praxisgemäss als starkes Indiz für die Annahme der Unzumutbarkeit des Wegweisungsvollzugs qualifiziert wird, wobei die Beurteilung der Zumutbarkeit des Vollzugs im Einzelfall aufgrund der individuellen Verhältnisse zu erfolgen hat. Konkret bedeutet diese Praxis, dass die Grenze zur Unzumutbar-keit des Wegweisungsvollzugs schon allein auf grund der Tatsache der Zugehörigkeit zur Ahmadiyya fast erreicht wird. Die Unzumutbarkeit des Wegweisungsvollzugs ist anzunehmen, wenn sich aus der persön-lichen Situation der asylsuchenden Person ein zusätzliches - das heisst über die schwierige Alltagslage der Ahmadi hinausgehendes - individuelles Gefährdungsindiz ergibt (vgl. EMARK 2002 Nr. 3 E. 7d]cc] S. 25 f.).</w:t>
      </w:r>
    </w:p>
    <w:p>
      <w:r>
        <w:rPr>
          <w:b/>
        </w:rPr>
        <w:t>E. 6.8.1</w:t>
      </w:r>
    </w:p>
    <w:p>
      <w:r>
        <w:t>Der Beschwerdeführer lebt seit fast sieben Jahren, die Be-schwerdeführerin seit über fünf Jahren in der Schweiz. Die Eltern und die Geschwister des Beschwerdeführers haben eigenen Aussagen zufolge ihren Heimatort D._______ verlassen und sind nach I._______ geflohen. Die Häuser der Familie in D._______ stehen leer. Die Eltern und die Schwestern der Beschwerdeführerin leben nach wie vor an ihrem ursprünglichen Wohnsitz in G._______. Es ist vorliegend nicht davon auszugehen, dass die Beschwerdeführenden im Falle einer Rückkehr in den Heimatstaat über ein unterstützungsfähiges und -williges familiäres Beziehungsnetz verfügen, welches ihnen die nötige Hilfe bieten kann. Die Beschwerdeführenden würden somit im Falle einer Rückkehr in den Heimatstaat dort weder über eine geregelte Wohnsituation noch über ein gesichertes Einkommen verfügen. Der Beschwerdeführer ist in der Schweiz seit März 2008 erwerbstätig. Die Beschwerdeführenden sind nie negativ in Erscheinung getreten und haben sich - soweit aus den Akten ersichtlich - gut integriert. Unter diesen Umständen ist - unter Berücksichtigung der schwierigen Alltagslage der Ahmadi in Pakistan - die Grenze zur Unzumutbarkeit des Wegweisungsvollzugs erreicht und eine Rückkehr der Beschwerdeführenden in den Heimatstaat zusammen mit ihren gemeinsamen Kindern im Alter von viereinhalb Jahren beziehungsweise sechs Monaten damit als nicht zumutbar zu bezeichnen.</w:t>
      </w:r>
    </w:p>
    <w:p>
      <w:r>
        <w:rPr>
          <w:b/>
        </w:rPr>
        <w:t>E. 6.9</w:t>
      </w:r>
    </w:p>
    <w:p>
      <w:r>
        <w:t>In Würdigung aller Umstände ist der Vollzug der Wegweisung im gegenwärtigen Zeitpunkt und entgegen der von der Vorinstanz vertre-tenen Meinung als unzumutbar zu erachten.</w:t>
      </w:r>
    </w:p>
    <w:p>
      <w:r>
        <w:rPr>
          <w:b/>
        </w:rPr>
        <w:t>E. 7</w:t>
      </w:r>
    </w:p>
    <w:p>
      <w:r>
        <w:t>Nach dem Gesagten ist die Beschwerde hinsichtlich des Vollzugs der Wegweisung gutzuheissen; im Übrigen ist sie abzuweisen. Die Ziffern 4 (Verlassen der Schweiz unter Androhung von Zwangsmitteln) und 5 (Vollzug der Wegweisung durch den Kanton C._______) des Dispositivs der Verfügung des BFM vom 10. August 2005 sind aufzuheben und das Bundesamt ist anzuweisen, die Beschwerdeführenden vorläufig aufzunehmen (vgl. Art. 44 Abs. 2 AsylG und Art. 83 Abs. 4 AuG). Einer vorläufigen Aufnahme stehen vorliegend auch keine einschränkenden gesetzlichen Tatbestände entgegen (vgl. Art. 83 Abs. 7 AuG).</w:t>
      </w:r>
    </w:p>
    <w:p>
      <w:r>
        <w:rPr>
          <w:b/>
        </w:rPr>
        <w:t>E. 8</w:t>
      </w:r>
    </w:p>
    <w:p>
      <w:r>
        <w:t>Da die Beschwerdeführenden mit ihren Begehren nur teilweise durchgedrungen sind, sind ihnen praxisgemäss die um die Hälfte reduzier-ten Verfahrenskosten von Fr. 300.- aufzuerlegen (vgl. Art. 63 Abs. 1 VwVG).</w:t>
      </w:r>
    </w:p>
    <w:p>
      <w:r>
        <w:rPr>
          <w:b/>
        </w:rPr>
        <w:t>E. 9</w:t>
      </w:r>
    </w:p>
    <w:p>
      <w:r>
        <w:t>Gemäss Art. 64 Abs. 1 VwVG kann die Beschwerdeinstanz der teilweise obsiegenden Partei von Amtes wegen oder auf Begehren eine Entschädigung für die der Partei erwachsenen notwendigen und verhältnismässig hohen Kosten zusprechen. Die Beschwerdeführenden sind in Bezug auf die Ziffern 1, 2 und 3 des Dispositivs der angefochtenen Verfügung unterlegen. Der Rechtsvertreter weist in seiner Kostennote vom 11. März 2009 einen Aufwand von 13,9 Stunden und Auslagen in der Höhe von Fr. 60.- aus. Der in Rechnung gestellte Aufwand er-scheint angesichts des Umfangs des Beschwerdeverfahrens angemessen, weshalb den Beschwerdeführenden unter Berücksichtigung der Bemessungsgrundsätze nach Art. 7 ff. des Reglements über die Kosten und Entschädigungen vor dem Bundesverwaltungsgericht vom 21. Februar 2008 (VGKE. SR 173.30.2) und eines in Rechnung gestellten Stundenansatzes von Fr. 300.- eine um die Hälfte herabgesetzte Parteientschädigung von Fr. 2076.70 (inkl. Auslagen und Mehrwert-steuer), welche vom Bundesamt zu entrichten ist,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