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E-3456/2015 vom 23. Juni 2016</w:t>
      </w:r>
    </w:p>
    <w:p>
      <w:r>
        <w:t>Bundesverwaltungsgericht, 2016-06-23, DE</w:t>
      </w:r>
    </w:p>
    <w:p>
      <w:r>
        <w:rPr>
          <w:b/>
        </w:rPr>
        <w:t xml:space="preserve">Quelle: </w:t>
      </w:r>
      <w:r>
        <w:t>https://mcp.opencaselaw.ch/entscheid/bvger_E-3456_2015</w:t>
      </w:r>
    </w:p>
    <w:p>
      <w:r>
        <w:t>FR: TAF E-3456/2015 du 23 juin 2016</w:t>
      </w:r>
    </w:p>
    <w:p>
      <w:r>
        <w:t>IT: TAF E-3456/2015 del 23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gelangt in der angefochtenen Verfügung zum Schluss, die Vorbringen der Beschwerdeführerin hielten den Anforderungen an das Glaubhaftmachen gemäss Art. 7 AsylG nicht stand, sodass deren Asylrelevanz nicht geprüft werden müsse. So habe die Beschwerdeführerin in der BzP angegeben, ihr Vater sei Parteimitglied der E._______ gewesen und deshalb seien er und die beiden älteren Geschwister getötet worden. Anlässlich der Bundesanhörung habe sie jedoch erzählt, ihr Vater hätte ins Militär gehen müssen, aber zum damaligen Zeitpunkt ihre Geschwister nicht alleine lassen können. Auf entsprechende Nachfrage habe die Beschwerdeführerin mitgeteilt, ihr Bruder sei politisch aktiv gewesen und sie wisse nicht, ob ihr Vater Parteimitglied der E._______ gewesen sei. So habe sie lediglich einmal eine Diskussion zwischen ihren Eltern über einen möglichen Parteibeitritt am Mittagstisch mitbekommen. Die Vorinstanz führt weiter aus, es sei nicht nachvollziehbar, weshalb die Beschwerdeführerin nach Erhalt der Nachricht über den Tod ihrer Familienmitglieder nicht mit ihrer Mutter und ihrem jüngsten Bruder nach Hause zurückgekehrt sei, um nachzuschauen, was mit ihrer Familie geschehen sei, zumal sie sich nicht weit weg davon befunden hätten. Im Weiteren sei auch nicht ersichtlich, weshalb die Familienmitglieder der Beschwerdeführerin hätten umgebracht werden sollen, da weder der Vater noch der Bruder politisch aktiv gewesen seien. Zudem seien keine Motive ersichtlich, dass die Familienmitglieder Unruhen in Äthiopien zum Opfer gefallen sein sollen. Schliesslich sei auch nicht glaubhaft, dass sich die Beschwerdeführerin nicht daran erinnern könne, an welchem Datum sie die Nachricht über den Tod ihrer Familienmitglieder erhalten haben soll, da es sich hierbei um ein einschneidendes Erlebnis in ihrem Leben gehandelt habe.</w:t>
      </w:r>
    </w:p>
    <w:p>
      <w:r>
        <w:rPr>
          <w:b/>
        </w:rPr>
        <w:t>E. 4.2.1</w:t>
      </w:r>
    </w:p>
    <w:p>
      <w:r>
        <w:t>Die Beschwerdeführerin hält in ihrer Rechtsmitteleingabe an der Glaubhaftigkeit ihrer Vorbringen fest und rügt damit sinngemäss, die Vorinstanz habe den Massstab des Glaubhaftmachens nicht richtig angewendet, mithin Bundesrecht verletzt.</w:t>
      </w:r>
    </w:p>
    <w:p>
      <w:r>
        <w:rPr>
          <w:b/>
        </w:rPr>
        <w:t>E. 4.2.2</w:t>
      </w:r>
    </w:p>
    <w:p>
      <w:r>
        <w:t>Die vorinstanzliche Schlussfolgerung ist indessen nicht zu beanstanden. In der angefochtenen Verfügung wird im Einzelnen dargelegt, aus welchen Gründen die Vorbringen der Beschwerdeführerin in wesentlichen Punkten widersprüchlich, nicht nachvollziehbar, unrealistisch und damit insgesamt nicht glaubhaft sind. Was in der Rechtsmitteleingabe dagegen vorgebracht wird, ist nicht geeignet, die Aussagen in einem anderen Licht erscheinen zu lassen. Auch wenn die Beschwerdeführerin eine schwierige Kindheit hatte, anlässlich der BzP innerlich beunruhigt war und die geltend gemachten Vorkommnisse bereits einige Jahre zurückliegen, dürfen von ihr in wesentlichen Punkten ihrer Asylbegründung in sich stimmige Angaben erwartet werden. Dies gilt umso mehr, als es sich beim Tod ihres Vaters und ihrer Geschwister und dem anschliessenden Verlassen des Heimatlandes um emotional sehr berührende und insoweit besonders einschneidende Erlebnisse in ihrem Leben handelt. Soweit die Beschwerdeführerin sich sodann auf Missverständnisse anlässlich der Anhörung bei der Übersetzung oder Protokollierung beruft, substantiiert sie den Einwand nicht ansatzweise. Aus den angeführten Seitenzahlen geht vielmehr klar hervor, dass sie anlässlich der Rückübersetzung diverse Korrekturen vorgenommen hatte und damit bereits allfällige Missverständnisse ausräumte. Zudem hat sie anlässlich der Rückübersetzung auf jeder Seite einzeln sowie am Schluss der Anhörung unterschriftlich die Richtigkeit und Vollständigkeit ihrer Aussagen bestätigt. Dabei hat sie sich behaften zu lassen. Schliesslich hat auch der zur Beobachtung der Einhaltung eines korrekten Verfahrens anwesende Hilfswerksvertreter keine Bemerkungen zur Anhörung angeführt. Schliesslich legt die Beschwerdeführerin mit dem blossen Wiederholen des aktenkundigen Sachverhalts und dem sinngemässen Festhalten an der Tatsächlichkeit ihrer Vorbringen nicht substantiiert dar, inwiefern die Vorinstanz zu Unrecht auf Unglaubhaftigkeit geschlossen hat. Solches ist auch nicht ersichtlich. Um diesbezüglich Wiederholungen zu vermeiden, kann auf die zutreffenden Erwägungen in der angefochtenen Verfügung verwiesen werden. Nachdem es der Beschwerdeführerin nicht gelungen ist, ihre Vorbringen glaubhaft zu machen, sind diese entgegen ihrer Ansicht nicht unter dem Blickwinkel von Art. 3 AsylG zu prüfen. Auf die entsprechenden Ausführungen in der Eingabe ist nicht weiter einzugehen.</w:t>
      </w:r>
    </w:p>
    <w:p>
      <w:r>
        <w:rPr>
          <w:b/>
        </w:rPr>
        <w:t>E. 4.3</w:t>
      </w:r>
    </w:p>
    <w:p>
      <w:r>
        <w:t>Insgesamt hat die Beschwerdeführerin somit nichts vorgebracht, das geeignet wäre, die Flüchtlingseigenschaft nachzuweisen oder glaubhaft zu machen. Die Vorinstanz hat das Asylgesuch zu Recht abgelehnt.</w:t>
      </w:r>
    </w:p>
    <w:p>
      <w:r>
        <w:rPr>
          <w:b/>
        </w:rPr>
        <w:t>E. 5</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(vgl. BVGE 2009/50 E. 9 S. 733). Die Wegweisung wurde zu Recht angeordnet. 6.1 Ist der Vollzug der Wegweisung nicht zulässig, nicht zumutbar oder nicht möglich, so regelt das Staatssekretariat das Anwesenheitsverhältnis nach den gesetzlichen Bestimmungen über die vorläufige Aufnahme von Ausländern (Art. 44 Abs. 2 AsylG; Art. 83 Abs. 1 AuG (SR 142.20). 6.2 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konkrete Anhaltspunkte dafür, dass sie für den Fall einer Ausschaffung nach Äthiopien dort mit beachtlicher Wahrscheinlichkeit einer nach Art. 3 EMRK oder Art. 1 FoK verbotenen Strafe oder Behandlung ausgesetzt wäre. Der Vollzug der Wegweisung ist zulässig. 6.3 Nach Art. 83 Abs. 4 AuG kann der Vollzug für Ausländerinnen und Ausländer unzumutbar sein, wenn sie im Heimat- oder Herkunftsstaat auf Grund von Situationen wie Krieg, Bürgerkrieg, allgemeiner Gewalt und medizinischer Notlage konkret gefährdet sind. 6.3.1 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Urteil des Bundesverwaltungsgerichts E-3399/2016 vom 13. Juni 2016). Der vorgenannte Entscheid des Gerichts äussert sich auch ausführlich zur Situation alleinstehender Frauen in Äthiopien. Namentlich wird festgehalten, dass nicht verheiratete, alleinlebende Frauen von der Gesellschaft - auch der städtischen - nicht akzeptiert würden. Insbesondere gehe die Gesellschaft davon aus, dass die Frauen auf der Suche nach sexuellen Abenteuern seien. Für alleinstehende Frauen sei es daher schwierig, ohne Hilfe von Bekannten eine Wohnung zu finden. Sodann liege die Arbeitslosigkeit von Frauen in Addis Abeba zwischen 40 und 55%. Eine höhere Schulbildung, ein Leben in der Stadt und das Verfügung über finanzielle Mittel erhöhe indes die Möglichkeit einer selbständigen Erwerbstätigkeit. Weiter wird im vorgenannten Entscheid festgehalten, dass in Äthiopien in den letzten Jahren ein wirtschaftlicher Boom mit zeitweilig zweistelligen Wachstumsraten zu verzeichnen gewesen sei, von welchem vorab die urbane Mittelschicht profitiert habe, und dass Addis Abeba bessere Arbeits- und Einkommensmöglichkeiten biete als andere Städte oder ländliche Regionen. 6.3.2 Die Beschwerdeführerin hat gemäss ihren eigenen Angaben bis zum Alter von 13 Jahren in Äthiopien gelebt und anschliessend das Land verlassen. Nachdem es der Beschwerdeführerin nicht gelungen ist, ihre Asylgründe auch nur schon ansatzweise glaubhaft zu machen, bestehen ernsthafte Zweifel am behaupteten fehlenden sozialen Netz in Äthiopien. In Anbetracht der soziologisch-gesellschaftlichen Verhältnisse in Äthiopien wird bezweifelt, dass die Beschwerdeführerin keine weiteren Verwandten haben soll. Diese Zweifel werden dadurch bekräftigt, dass sie anlässlich der Bundesanhörung eine Nichte in F._______, das sich im Übrigen in der Nähe von B._______ befindet, erwähnte. Insoweit ist davon auszugehen, dass die Beschwerdeführerin dennoch über soziale Anknüpfungspunkte in ihrer Heimat verfügt. Sodann hat sie zwar nur vier Jahre lang die Grundschule besucht und keinen Beruf erlernt, indes im Sudan zwei Jahre lang als (...) und anschliessend in Libyen als (...) gearbeitet. Somit verfügt die Beschwerdeführerin über einiges an Berufserfahrung, auf die sie zurückgreifen kann. Im Lichte der vorstehenden Ausführungen zur wirtschaftlichen Situation in Äthiopien kann davon ausgegangen werden, dass es der Beschwerdeführerin gelingen wird, sich bei einer Rückkehr zu integrieren und eine eigene Existenz aufzubauen, zumal die Stadt B._______ über 220 000 Einwohner hat. Trotz der schwierigen Lebensumstände für alleinstehende Frauen geht das Gericht im Falle der Beschwerdeführerin angesichts ihrer persönlichen Voraussetzungen davon aus, dass es ihr allenfalls mit Unterstützung ihrer in Äthiopien lebenden Nichte und ihrer sich angeblich im Sudan aufhaltenden Tante möglich und zumutbar ist, sich in ihrem Heimatland sozial und wirtschaftlich zu integrieren. Der Vollzug der Wegweisung ist daher zumutbar. 6.4 Es obliegt der Beschwerdeführerin, sich bei der zuständigen Vertretung Äthiopiens die für eine Rückkehr notwendigen Reisedokumente für sich zu beschaffen (vgl. Art. 8 Abs. 4 AsylG und dazu auch BVGE 2008/34 E. 12 S. 513 - 515), weshalb der Vollzug der Wegweisung auch als möglich zu bezeichnen ist (Art. 83 Abs. 2 AuG). 6.5 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w:t>
      </w:r>
    </w:p>
    <w:p>
      <w:r>
        <w:t>Bei diesem Ausgang des Verfahrens sind die Kosten in Höhe von Fr. 600.- der Beschwerdeführerin aufzuerlegen (Art. 63 Abs. 1 und 5 VwVG i.V.m. Art. 1 - 3 des Reglements vom 21. Februar 2008 über die Kosten und Entschädigungen vor dem Bundesverwaltungsgericht [VGKE], SR 173.320.2). Der am 24. Juni 2015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