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E-3448/2006 vom 1. April 2009</w:t>
      </w:r>
    </w:p>
    <w:p>
      <w:r>
        <w:t>Bundesverwaltungsgericht, 2009-04-01, FR</w:t>
      </w:r>
    </w:p>
    <w:p>
      <w:r>
        <w:rPr>
          <w:b/>
        </w:rPr>
        <w:t xml:space="preserve">Quelle: </w:t>
      </w:r>
      <w:r>
        <w:t>https://mcp.opencaselaw.ch/entscheid/bvger_E-3448_2006</w:t>
      </w:r>
    </w:p>
    <w:p>
      <w:r>
        <w:t>FR: TAF E-3448/2006 du 1 avril 2009</w:t>
      </w:r>
    </w:p>
    <w:p>
      <w:r>
        <w:t>IT: TAF E-3448/2006 del 1 aprile 2009</w:t>
      </w:r>
    </w:p>
    <w:p>
      <w:pPr>
        <w:pStyle w:val="Heading2"/>
      </w:pPr>
      <w:r>
        <w:t>Regeste</w:t>
      </w:r>
    </w:p>
    <w:p>
      <w:r>
        <w:t>Asile et renvoi</w:t>
      </w:r>
    </w:p>
    <w:p>
      <w:pPr>
        <w:pStyle w:val="Heading2"/>
      </w:pPr>
      <w:r>
        <w:t>Erwägungen</w:t>
      </w:r>
    </w:p>
    <w:p>
      <w:r>
        <w:rPr>
          <w:b/>
        </w:rPr>
        <w:t>E. 1.1</w:t>
      </w:r>
    </w:p>
    <w:p>
      <w:r>
        <w:t>Les recours qui étaient pendants devant l'ancienne Commission suisse de recours en matière d'asile (CRA) au 31 décembre 2006 sont traités par le Tribunal administratif fédéral, dans la mesure où il est compétent (art. 53 al. 2 phr. 1 LTAF). 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Le recourant a qualité pour recourir (art. 48 PA). Présenté dans la forme (art. 52 PA) et le délai (art. 50 PA, dans sa teneur en vigueur lors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l'autorité inférieure a conclu à l'invraisemblance des faits allégués par le recourant.</w:t>
      </w:r>
    </w:p>
    <w:p>
      <w:r>
        <w:rPr>
          <w:b/>
        </w:rPr>
        <w:t>E. 3.1.1</w:t>
      </w:r>
    </w:p>
    <w:p>
      <w:r>
        <w:t>L'autorité inférieure s'est basée, tout d'abord, sur des contradictions observées entre ses diverses déclarations s'agissant de son engagement comme membre ou simple sympathisant du Yekiti, des circonstances de son arrestation et des conditions de sa libération. De l'avis du Tribunal, les divergences relevées ne sont pas déterminantes ; l'argumentation présentée dans le recours sur ce point est convaincante.</w:t>
      </w:r>
    </w:p>
    <w:p>
      <w:r>
        <w:rPr>
          <w:b/>
        </w:rPr>
        <w:t>E. 3.1.2</w:t>
      </w:r>
    </w:p>
    <w:p>
      <w:r>
        <w:t>L'ODM a ensuite considéré que les allégations du recourant concernant ses activités et celles de son oncle en faveur du Yekiti n'étaient pas suffisamment précises et circonstanciées. Sur ce point également, le Tribunal considère comme plausibles les explications du recourant s'agissant de sa relative méconnaissance de l'organisation du parti Yekiti. Le recourant était relativement jeune à l'époque des faits et il ressort de son récit qu'il était simplement fier d'aider son oncle et le Yekiti, en raison de l'engagement de ceux-ci pour les Kurdes. En revanche, il n'a pas allégué avoir été davantage impliqué dans ce parti. Il a simplement affirmé avoir été un sympathisant du Yekiti, prêt à s'engager dans des activités parce que ce parti luttait pour la reconnaissance des droits des Maktumin (cf. pv. de l'audition fédérale p. 4). Il sied de relever également que le recourant a donné le nom de certains responsables régionaux. Le fait qu'il n'ait pas une connaissance plus précise de l'organisation du parti n'exclut ainsi pas la vraisemblance des différentes manifestations de sa sympathie pour le parti et de sa volonté de lui rendre service. Au contraire, il a su décrire de manière claire et convaincante le contenu des revues du Yekiti et a fait preuve de connaissances relativement approfondies des buts et du programme de ce parti (cf. pv. de l'audition fédérale, p. 4 à 6). L'attestation fournie, émanant des représentants du Yekiti en Suisse, et le fait que c'est par l'intermédiaire de sympathisants ou de membres de ce parti qu'il aurait fait venir de Syrie les documents produits comme moyens de preuve (cf. pv. de l'audition cantonale du 25 février 2003 p. 4), démontre qu'il s'est mis rapidement en contact avec les responsables en Suisse, ce qui constitue également un indice de la préexistence de liens avec ce parti (cf. Jurisprudence et informations de la Commission suisse de recours en matière d'asile [JICRA] 2005 n° 7 consid. 6.1.2).</w:t>
      </w:r>
    </w:p>
    <w:p>
      <w:r>
        <w:rPr>
          <w:b/>
        </w:rPr>
        <w:t>E. 3.1.3</w:t>
      </w:r>
    </w:p>
    <w:p>
      <w:r>
        <w:t>L'autorité inférieure a enfin considéré que les déclarations du recourant concernant les circonstances de son arrestation, de sa détention et de sa libération étaient contraires à la logique et à l'expérience générale, et qu'il se dégageait de ses allégations une impression de récit construit, répétitif et peu logique ; elle a relevé notamment que l'acharnement des autorités à l'endroit du recourant (arrestation, interrogatoire en pleine nuit sous la torture, dans la même nuit et dans les conditions décrites), alors qu'il n'était soupçonné que d'une simple distribution de journaux, paraissait disproportionné. Le Tribunal ne partage cet avis que très partiellement. Il convient, d'abord, de relever que le parti Yekiti est - comme toute organisation politique d'opposition - illégal et que ses activités sont fortement réprimées et, autant que possible, préventivement étouffées dans l'oeuf ; la publication ou la distribution de revues et de livres en langue kurde sont totalement prohibées et susceptibles de conduire à des arrestations. Pour accomplir leurs missions, les services de renseignement syriens - qui, conformément aux dispositions de l'état d'urgence en vigueur depuis 1963, sont autorisés à agir comme bon leur semble, sans devoir rendre compte en justice de leurs actions - s'appuient sur un réseau de plusieurs centaines de milliers d'informateurs chargés d'espionner leurs proches, amis et collègues de travail, la plupart recrutés de force; ces informateurs sont en particulier chargés de surveiller les anciens activistes d'organisations politiques illégales après leur sortie de prison. Pour mener à chef leurs missions, ces services de renseignement ne se fondent sur aucun modèle ou schéma particulier, les mauvais traitements et l'arbitraire constituant leur quotidien, y compris sur les membres de la famille d'activistes passés ou présumés (Alexandra Geiser, Syrien, Update: Aktuelle Entwicklungen, rapport de l'Organisation suisse d'aide aux réfugiés, Berne, 20 août 2008, p. 4, 6 à 8, 10 et 13 ; cf. également Alexandra Geiser, Syrien, PKK- und PYD Aktivitäten, rapport de l'Organisation suisse d'aide aux réfugiés, Berne, 12 novembre 2008, p. 6).</w:t>
      </w:r>
    </w:p>
    <w:p>
      <w:r>
        <w:rPr>
          <w:b/>
        </w:rPr>
        <w:t>E. 3.1.4</w:t>
      </w:r>
    </w:p>
    <w:p>
      <w:r>
        <w:t>En l'occurrence, le Tribunal estime que le recourant a rendu vraisemblable son arrestation et la perquisition de son domicile. Il est plausible qu'en raison de vagues soupçons de distribution de revues interdites (par exemple à la suite d'une dénonciation), les services de renseignement aient voulu partir à la recherche d'indices qui auraient permis de les fonder objectivement. Le recourant était connu des autorités comme un élève perturbateur ayant été exclu définitivement de l'école. En outre, les moyens utilisés étaient conformes aux buts recherchés, et propres à éviter, en particulier, que durant la perquisition les habitants de l'immeuble fouillé commettent des actes de résistance ou fassent disparaître d'éventuels moyens de preuve.</w:t>
      </w:r>
    </w:p>
    <w:p>
      <w:r>
        <w:rPr>
          <w:b/>
        </w:rPr>
        <w:t>E. 3.1.5</w:t>
      </w:r>
    </w:p>
    <w:p>
      <w:r>
        <w:t>En revanche, avec l'autorité inférieure, le Tribunal estime que de sérieux doutes peuvent être émis quant au fait que le recourant ait été torturé dans les circonstances décrites. En effet, bien que l'on puisse à la rigueur admettre que les interrogatoires aient commencé immédiatement de nuit, parce qu'il y aurait eu pour les services concernés péril en la demeure, il n'est pas logique qu'ils n'aient pas été poursuivis de jour, le lendemain et le surlendemain. L'affaire ne présentait aucune circonstance de nature à expliquer que le même officier de police passe trois nuits consécutives à interroger le recourant. Par ailleurs, il n'est pas non plus logique que le recourant, qui allègue avoir eu les yeux bandés durant les séances de torture, soit en mesure de décrire les instruments utilisés à cette fin. On relèvera encore que, lors de son audition sommaire du 4 juin 2002, le recourant n'a fait état que des insultes et des coups reçus durant ses interrogatoires sans même en mentionner la violence et la cruauté (supplices de la falaqa et suivant la version considérée, de la roue ["doulab"] ou du pneu) exposées lors des deux auditions suivantes. Il n'a enfin fait valoir aucune séquelle médicale durable et sévère, ce qui, même s'il dit avoir été soigné dans son pays d'origine par des médecines traditionnelles, ne paraît guère compatible avec la nature et la gravité des tortures décrites. En conclusion, le Tribunal est d'avis que son récit, sur ce point, est exagéré. Tout au plus peut-on admettre que le recourant a subi des mauvais traitements (coups) durant sa détention. La perquisition n'ayant révélé aucun fait incriminant, il est probable que la détention du recourant a eu, avant tout, pour but d'obtenir de lui qu'il collabore avec les autorités. Preuve en est l'assignation à comparaître mensuellement dans les bureaux desdits services.</w:t>
      </w:r>
    </w:p>
    <w:p>
      <w:r>
        <w:rPr>
          <w:b/>
        </w:rPr>
        <w:t>E. 3.1.6</w:t>
      </w:r>
    </w:p>
    <w:p>
      <w:r>
        <w:t>S'agissant de cette assignation, le Tribunal estime que les éléments sur la base desquels l'autorité inférieure élève des doutes quant à l'authenticité du document fourni ne sont pas convaincants. Que le support soit une photocopie ou non, force est de reconnaître que le sceau et la signature qui y sont apposés sont, quant à eux, originaux et force est, par ailleurs, de constater que le sceau n'est pas illisible puisqu'il a été traduit par le traducteur. Certes, le document fourni n'indique pas les motifs et rien n'exclut que ce contrôle, pour une durée indéterminée, ait été décidé pour d'autres raisons, qui ne seraient pas d'ordre politique, ni fondées sur des considérations ethniques et donc non pertinentes pour la reconnaissance de la qualité de réfugié. En soi, ce document n'est pas de nature à corroborer à lui seul la véracité des faits allégués. Mais, placé dans le contexte de l'affaire, il paraît vraisemblable qu'il s'agissait là d'un moyen de pression efficace pour amener le recourant à se soumettre, peu ou prou, à la volonté des services de renseignement et à collaborer avec eux.</w:t>
      </w:r>
    </w:p>
    <w:p>
      <w:r>
        <w:rPr>
          <w:b/>
        </w:rPr>
        <w:t>E. 3.2</w:t>
      </w:r>
    </w:p>
    <w:p>
      <w:r>
        <w:t>Au vu de ce qui précède, le Tribunal admet que le recourant a subi des préjudices de la part des autorités syriennes pour des raisons politiques ou analogues conformes à l'art. 3 LAsi. La question de savoir si ces préjudices (arrestation et détention de dix jours, avec mauvais traitements, puis assignation à comparaître mensuellement) sont suffisamment sérieux ou intenses n'a pas besoin d'être tranchée. En effet, le recourant ne s'est pas présenté le (...) 2002 dans les bureaux des services de renseignement, comme il en avait reçu l'ordre, alors qu'il se cachait ailleurs dans son pays ; à partir de ce moment, il était recherché et pouvait légitimement craindre d'être exposé à une persécution correspondant aux conditions posées par l'art. 3 LAsi, et ce d'autant plus en raison de son appartenance à la communauté kurde maktum et de ses liens avec son oncle, connu pour des activités d'opposition.</w:t>
      </w:r>
    </w:p>
    <w:p>
      <w:r>
        <w:rPr>
          <w:b/>
        </w:rPr>
        <w:t>E. 3.3</w:t>
      </w:r>
    </w:p>
    <w:p>
      <w:r>
        <w:t>Le départ de son pays, deux mois plus tard, intervenu illégalement, est de nature à constituer pour les autorités syriennes un facteur aggravant. Il s'agit là d'un motif supplémentaire d'arrestation à son retour au pays. Les autorités pourraient ainsi tenter d'obtenir, au besoin par la contrainte, des renseignements sur son séjour à l'étranger et sur les contacts qu'il a pu y développer.</w:t>
      </w:r>
    </w:p>
    <w:p>
      <w:r>
        <w:rPr>
          <w:b/>
        </w:rPr>
        <w:t>E. 4.1</w:t>
      </w:r>
    </w:p>
    <w:p>
      <w:r>
        <w:t>Au vu de ce qui précède, la qualité de réfugié doit être reconnue au recourant en application des art. 3 et 7 LAsi pour des motifs antérieurs à son départ de Syrie.</w:t>
      </w:r>
    </w:p>
    <w:p>
      <w:r>
        <w:rPr>
          <w:b/>
        </w:rPr>
        <w:t>E. 4.2</w:t>
      </w:r>
    </w:p>
    <w:p>
      <w:r>
        <w:t>Le dossier ne fait apparaître aucun élément susceptible de constituer un motif d'exclusion de la qualité de réfugié au sens de l'art. 1 F de la Convention du 28 juillet 1951 relative au statut des réfugiés (Conv. réfugiés, RS 0.142.30). Par ailleurs, le dossier ne fait pas non plus apparaître d'éléments constitutifs d'un motif d'indignité, au sens de l'art. 53 LAsi.</w:t>
      </w:r>
    </w:p>
    <w:p>
      <w:r>
        <w:rPr>
          <w:b/>
        </w:rPr>
        <w:t>E. 4.3</w:t>
      </w:r>
    </w:p>
    <w:p>
      <w:r>
        <w:t>Partant, le recours doit être admis, la décision du 14 janvier 2004 annulée et le dossier renvoyé à l'ODM afin qu'il reconnaisse la qualité de réfugié du recourant et lui octroie l'asile.</w:t>
      </w:r>
    </w:p>
    <w:p>
      <w:r>
        <w:rPr>
          <w:b/>
        </w:rPr>
        <w:t>E. 5.1</w:t>
      </w:r>
    </w:p>
    <w:p>
      <w:r>
        <w:t>Vu l'issue de la procédure, il n'est pas perçu de frais (art. 63 al. 1 PA).</w:t>
      </w:r>
    </w:p>
    <w:p>
      <w:r>
        <w:rPr>
          <w:b/>
        </w:rPr>
        <w:t>E. 5.2</w:t>
      </w:r>
    </w:p>
    <w:p>
      <w:r>
        <w:t>Le recourant ayant obtenu gain de cause, il y a lieu de lui accorder des dépens en application de l'art. 64 al. 1 PA et des art. 7ss FITAF. Ceux-ci sont fixés sur la base du décompte de prestations du mandataire du recourant, du 16 février 2009, qu'il y a lieu de modérer étant donné que de nombreuses opérations portées en compte ne paraissent pas concerner la présente procédure, mais des correspondances relatives aux démarches de mariage du recourant et d'obtention d'une autorisation cantonale de séjour. Les dépens sont ainsi arrêtés à Fr. 1'759,50.-, plus la TVA par Fr. 133,70, soit au total à Fr. 1'893.20.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