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E-3441/2006 vom 12. November 2009</w:t>
      </w:r>
    </w:p>
    <w:p>
      <w:r>
        <w:t>Bundesverwaltungsgericht, 2009-11-12, DE</w:t>
      </w:r>
    </w:p>
    <w:p>
      <w:r>
        <w:rPr>
          <w:b/>
        </w:rPr>
        <w:t xml:space="preserve">Quelle: </w:t>
      </w:r>
      <w:r>
        <w:t>https://mcp.opencaselaw.ch/entscheid/bvger_E-3441_2006</w:t>
      </w:r>
    </w:p>
    <w:p>
      <w:r>
        <w:t>FR: TAF E-3441/2006 du 12 novembre 2009</w:t>
      </w:r>
    </w:p>
    <w:p>
      <w:r>
        <w:t>IT: TAF E-3441/2006 del 12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105 AsylG i.V.m. Art. 37 VGG und 48 Abs. 1, 50 und 52 VwVG). Auf die Beschwerde ist einzutreten.</w:t>
      </w:r>
    </w:p>
    <w:p>
      <w:r>
        <w:rPr>
          <w:b/>
        </w:rPr>
        <w:t>E. 1.4</w:t>
      </w:r>
    </w:p>
    <w:p>
      <w:r>
        <w:t>Das am (...) geborene Kind C._______ wird ins Beschwerdeverfahren seiner Mutter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Urteil desselben Datums wie das vorliegende lehnt das Bundesverwaltungsgericht die Beschwerde des Ehemannes der Beschwerdeführerin im Asylpunkt ab (E-3440/2006). Die Frage der Glaubhaftigkeit der Vorbringen des Ehemannes wurde dabei offengelassen, da aufgrund der Amnestiegesetze ohnehin kein Grund für die Annahme einer zukünftigen Verfolgung ersichtlich ist. Da die Beschwerdeführerin ihre Vorbringen zu einem grossen Teil auf jene ihres Ehemannes abstützte, wurde ihnen damit die Grundlage entzogen. Die Verfügung des BFF ist daher in diesem Punkt zu bestätigen.</w:t>
      </w:r>
    </w:p>
    <w:p>
      <w:r>
        <w:rPr>
          <w:b/>
        </w:rPr>
        <w:t>E. 4.2</w:t>
      </w:r>
    </w:p>
    <w:p>
      <w:r>
        <w:t>Die Vorinstanz hat zu Recht auch festgestellt, dass sowohl der erforderliche zeitliche als auch der sachliche Kausalzusammenhang zwischen der Vergewaltigung der Beschwerdeführerin im Jahre 1994 und ihrer Ausreise neun Jahre später im Jahre 2003 nicht mehr bestanden habe (vgl. dazu Entscheidungen und Mitteilungen der Schweizerischen Asylrekurskommission [EMARK] 2000 Nr. 2 E. 9c S. 24; vgl. auch Urteil des Bundesverwaltungsgerichts E-4115/2006 vom 18. September 2009 E. 4.2.5). Zutreffend ist auch die Feststellung der Vorinstanz, dass den Akten keine Hinweise entnommen werden können, wonach die Beschwerdeführerin aufgrund der erlebten Vergewaltigung künftig eine asylrechtlich relevante Verfolgung zu befürchten hätte. In der Beschwerdeeingabe wird geltend gemacht, aufgrund der erlebten traumatischen Ereignisse könne sich die Beschwerdeführerin zur Begründung der Flüchtlingseigenschaft auf "zwingende Gründe" im Sinne der Rechtsprechung berufen (Beschwerde S. 3 f.). In der Tat ist eine erlittene Vorverfolgung auch bei Wegfall einer zukünftig drohenden Verfolgunsgefahr gemäss der Praxis weiterhin als asylrechtlich relevant zu betrachten, wenn eine Rückkehr in den Heimatstaat aus zwingenden, auf die erlebte Verfolgung zurückgehenden Gründen nicht zumutbar ist (vgl. BVGE 2007/31 E. 5.4 mit weiteren Hinweisen). Indessen setzt diese Praxis voraus, dass die betreffende Person im Zeitpunkt der Ausreise die Flüchtlingseigenschaft erfüllt hat (vgl. EMARK 1999 Nr. 7 E. 4.d.aa S.46 f.). Dies ist vorliegend, wie vorstehend festgehalten, jedoch nicht der Fall.</w:t>
      </w:r>
    </w:p>
    <w:p>
      <w:r>
        <w:rPr>
          <w:b/>
        </w:rPr>
        <w:t>E. 4.3</w:t>
      </w:r>
    </w:p>
    <w:p>
      <w:r>
        <w:t>Nach dem Gesagten ergibt sich, dass die Beschwerdeführerin keine Gründe vorbringt, die im Sinne von Art. 3 AsylG asylrelevant sind. Die Vorinstanz hat somit im Ergebnis zu Recht die Flüchtlingseigenschaft der Beschwerdeführerin und ihrer Kinder verneint und ihr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w:t>
      </w:r>
    </w:p>
    <w:p>
      <w:r>
        <w:rPr>
          <w:b/>
        </w:rPr>
        <w:t>E. 6.4</w:t>
      </w:r>
    </w:p>
    <w:p>
      <w:r>
        <w:t>Sodann ergeben sich weder aus den Aussagen der Beschwerdeführerin noch aus den Akten Anhaltspunkte dafür, dass sie und die Kinder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6.6</w:t>
      </w:r>
    </w:p>
    <w:p>
      <w:r>
        <w:t>Gemäss mehreren in den Akten befindlichen ärztlichen Berichten von Dr. med. E._______ Psychiatrie und Psychotherapie FMH, (...), befindet sich die Beschwerdeführerin (sowie ihr Ehemann) seit einigen Jahren (gemäss Bericht vom 14. Juni 2004 seit September 2003 [BVGer act. 1 S. 25]) in ambulanter psychiatrischer Behandlung und Betreuung. Aus dem Verlaufsbericht vom 9. Mai 2009 und dem ergänzenden Bericht vom 5. Juli 2009 geht hervor, dass die Beschwerdeführerin unter chronisch rezidivierenden schizotypen Störungen (ICD-10: F21), generalisierten Angstbeschwerden (ICD-10: F41.1) und chronischen posttraumatischen Belastungsstörungen (ICD-10, F43.1 - mehrjähriges Kriegstrauma und Vergewaltigung mit persistierenden traumatischen Folgeerscheinungen) leidet. Sie klage über diffuse Ängste, phasenweise mit psychotischer Symptomatik (bedrohliches Geräusche- und Stimmenhören, religiös-wahnhafte Äusserungen, Beeinflussung und Belästigung durch böse Geister). Sie wirke innerlich meist depressiv verstimmt, stark verunsichert, unruhig, gestresst, schwach, zittrig, klage immer wieder über Herzklopfen, Schwindelgefühle, Konzentrationsprobleme, Vergesslichkeit, Kopfschmerzen, diffuse Bauchbeschwerden, Schlafstörungen, häufige Albträume und traumatische Flashbacks tagsüber. Die krankhafte Symptomatik habe sich bisher als sehr therapieresistent erwiesen. Durch die regelmässige psychiatrische Behandlung habe die Lebensqualität der Beschwerdeführerin etwas verbessert und eine totale Eskalation der Situation zu Hause, mit potentieller Selbst- und Fremdgefährdung, sowie eine zwangsmässige FFE-Einweisung in eine psychiatrische Klinik, erfolgreich verhindert werden können. Die Therapiesitzungen fänden meist monatlich statt, Kriseninterventionen seien jedoch jederzeit möglich. Das Ausfallen von Therapiesitzungen und alltägliches Stresserleben würden bei der Beschwerdeführerin mit Sicherheit zu einer raschen progressiven psychischen Dekompensation führen. Das aktuelle Zustandsbild der Beschwerdeführerin müsse aus ärztlich-psychiatrischer Sicht weiterhin als unbefriedigend, schwierig, chronifiziert, sowie andauernd therapie-, hilfs- und unterstützungsbedürftig bezeichnet werden. Sie sei weiterhin auf langfristige regelmässige psychiatrische Behandlung, Betreuung, soziale Unterstützung und ein sicheres Lebensumfeld angewiesen. Die Gedanken an eine Rückkehr nach Bosnien seien weiterhin mit unerträglichen existenziellen Ängsten und inadäquaten psychotisch gefärbten Reaktionen verknüpft. Dem behandelnden Arzt erscheint die Rückkehr der Beschwerdeführerin in ihre Heimat aus humanitär-psychiatrischen Gründen als völlig unzumutbar und medizinisch absolut unvertretbar. Jegliche Zwangsmassnahmen müssten unbedingt vermieden werden; sie führten mit Sicherheit zu einer dramatischen Verschlechterung des gesundheitlichen Zustands der Beschwerdeführerin (und ihres Ehemannes). Die Behandlung der schweren chronifizierten posttraumatischen Belastungsstörung könne mit Sicherheit nicht am Ort der Traumatisierung stattfinden. Gemäss letztem Bericht seien derzeit keine konkreten Anzeichen für eine Selbst- oder Fremdgefährdung feststellbar. In akuten, stressvollen, bedrohlich wirkenden Lebenssituationen könnten selbst- oder fremdgefährdende Handlungen jedoch durchaus erwartet werden.</w:t>
      </w:r>
    </w:p>
    <w:p>
      <w:r>
        <w:rPr>
          <w:b/>
        </w:rPr>
        <w:t>E. 6.7</w:t>
      </w:r>
    </w:p>
    <w:p>
      <w:r>
        <w:t>Mit dem Urteil im Verfahren D-7122/2006 vom 3. Juni 2008 hat das Bundesverwaltungsgericht die medizinische Situation in Bosnien-Herzegowina eingehend analysiert. Dabei kam es zum Schluss, dass die Lage noch weitgehend jener entspricht, wie sie in EMARK 2002 Nr. 12 E. 10 beschrieben wurde. Demnach gibt es in der Föderation ausserhalb der grossen Städte nur sehr beschränkte psychiatrische Behandlungsmöglichkeiten. Die damalige ARK hat festgehalten, dass der Wegweisungsvollzug nicht zumutbar sei für bedürftige Personen, die sich nicht legal und dauerhaft in der Nähe eines städtischen Zentrums niederlassen könnten, und die wegen einer sehr ernsthaften psychischen Erkrankung dringend einer intensiven und langdauernden Behandlung bedürften. Nach den Erkenntnissen des Bundesverwaltungsgerichts im erwähnten Urteil führt die Anmeldung bei den zuständigen kommunalen Behörden - was als Voraussetzung einer Krankenversicherung gilt - nicht automatisch dazu, dass die notwendigen Behandlungskosten denn auch übernommen werden (a.a.O. E. 8.3.5.1 i.f.). Der Befund ist auch unbefriedigend in Bezug auf die Behandlungsmöglichkeiten von schweren psychischen Leiden. Die vorhandenen psychiatrischen Kliniken und Institutionen sind - mit Ausnahme der Universitätsklinik Sarajevo - insbesondere nicht zur Behandlung von traumatisierten Personen eingerichtet. In Bosnien-Herzegowina gibt es zudem um die 50 sogenannte Community Mental Health Centers (davon ca. 40 in der Föderation, d.h. eines auf etwa 55'000 Einwohner), die über gut ausgebildetes Personal verfügen und die Behandlung traumatisierter Patienten sicherstellen sollten. In der Realität differiert das Angebot jedoch stark von einem Center zum andern. Die meisten haben weder die Mittel noch die Kapazitäten, traumatisierte Personen adäquat zu behandeln. Diesen werden häufig lediglich Medikamente verschrieben - dies auch in den Fällen, in denen eine Psychotherapie notwendig wäre. Zusammenfassend kommt das Gericht zum Schluss, dass sich die Situation auch diesbezüglich seit der Analyse der ARK nicht entscheidend verändert hat: Für traumatisierte Personen, die zwingend einer spezifischen und längerfristigen Behandlung bedürfen, sind die Behandlungsmöglichkeiten nach wie vor vom Zufall abhängig; die Kosten müssen mindestens teilweise selber getragen werden (a.a.O. E. 8.3.5.2).</w:t>
      </w:r>
    </w:p>
    <w:p>
      <w:r>
        <w:rPr>
          <w:b/>
        </w:rPr>
        <w:t>E. 6.8</w:t>
      </w:r>
    </w:p>
    <w:p>
      <w:r>
        <w:t>Wie bereits dargestellt, leidet die Beschwerdeführerin unter chronisch rezidivierenden schizotypen Störungen, generalisierten Angstbeschwerden und chronischen posttraumatischen Belastungsstörungen. Obwohl sich die krankhafte Symptomatik als sehr therapieresistent erwiesen habe, habe die Lebensqualität der Beschwerdeführerin durch die regelmässige psychiatrische Behandlung etwas verbessert werden können. Dennoch müsse sie als andauernd therapiebedürftig bezeichnet werden. Sie sei weiterhin auf langfristige regelmässige psychiatrische Behandlung angewiesen. Im Lichte der erwähnten Erkenntnisse des Bundesverwaltungsgerichts betrachtet, ist der Wegweisungsvollzug der Beschwerdeführerin nach Bosnien-Herzegowina unzumutbar. Zwar sind minimale Behandlungsstrukturen in ihrem Heimatland vorhanden; der Zugang zu diesen ist jedoch nicht gesichert. Die Nichtweiterführung der offensichtlich langfristig notwendigen Therapie würde voraussichtlich - gemäss Angaben ihres Arztes, die nachvollziehbar und überzeugend dargelegt werden und eine langjährige Behandlung dokumentieren - zu einer raschen progressiven psychischen Dekompensation führen. Schon allein der Gedanke an eine Rückkehr nach Bosnien löse bei der Beschwerdeführerin unerträgliche existenzielle Ängste aus. Bei einer tatsächlichen Wegweisung in ihr Heimatland könnten selbst- oder fremdgefährdende Handlungen infolge des erwarteten Stresses und der Bedrohung nicht ausgeschlossen werden. Bei dieser Ausgangslage erübrigt es sich, auf die geltend gemachten gesundheitlichen Probleme der Kinder der Beschwerdeführerin einzugehen, werden sie doch in die vorläufige Aufnahme ihrer Mutter einbezogen (Art. 44 Abs. 1 AsylG).</w:t>
      </w:r>
    </w:p>
    <w:p>
      <w:r>
        <w:rPr>
          <w:b/>
        </w:rPr>
        <w:t>E. 6.9</w:t>
      </w:r>
    </w:p>
    <w:p>
      <w:r>
        <w:t>Die Beschwerde ist nach dem Gesagten den Vollzug der Wegweisung betreffend gutzuheissen. Die Ziffern 4 und 5 der Verfügung vom 28. Mai 2004 sind aufzuheben und das BFM anzuweisen, die Beschwerdeführerin und ihre Kinder wegen Unzumutbarkeit des Wegweisungsvollzugs in der Schweiz vorläufig aufzunehmen.</w:t>
      </w:r>
    </w:p>
    <w:p>
      <w:r>
        <w:rPr>
          <w:b/>
        </w:rPr>
        <w:t>E. 7.1</w:t>
      </w:r>
    </w:p>
    <w:p>
      <w:r>
        <w:t>Mit Verfügung vom 13. Juli 2004 wurde das Gesuch der Beschwerdeführerin um unentgeltliche Rechtspflege mit Verweis auf das Sicherheitskonto ihres Mannes abgewiesen. Diesbezüglich ist festzuhalten, dass mit der Asylgesetzrevision vom 16. Dezember 2005 (in Kraft seit 1. Januar 2008) eine Änderung dieser Praxis einhergegangen ist. Nach dem bis Ende 2007 geltenden Art. 86 Abs. 1 aAsylG (AS 1999 2262) waren Asylsuchende verpflichtet, unter anderem auch für die Kosten des Rechtsmittelverfahrens Sicherheit zu leisten. Mit dem Inkrafttreten der neuen Bestimmung am 1. Januar 2008 wurde die bisherige Sicherheitsleistungspflicht durch die sogenannte Sonderabgabe ersetzt. Diese dient gemäss revidiertem Art. 86 Abs. 1 AsylG "zur Deckung der Gesamtkosten, welche alle diese erwerbstätigen Personen (...) verursachen" und kann daher nicht mehr zur individuellen Kostendeckung herangezogen werden. Nach dem Gesagten ist die Dispositivziffer 3 der Verfügung der ARK vom 13. Juli 2004 aufzuheben. Das Gesuch um unentgeltliche Rechtspflege im Sinne von Art. 65 Abs. 1 VwVG wird nachträglich gutgeheissen, nachdem die Rechtsbegehren nicht aussichtslos waren und sich in den Akten keine Hinweise darauf finden, dass die Beschwerdeführerin inzwischen (seit der Bestätigung der Fürsorgeabhängigkeit vom 17. Juni 2004) nicht mehr bedürftig ist. Es sind daher keine Verfahrenskosten aufzuerlegen.</w:t>
      </w:r>
    </w:p>
    <w:p>
      <w:r>
        <w:rPr>
          <w:b/>
        </w:rPr>
        <w:t>E. 7.2</w:t>
      </w:r>
    </w:p>
    <w:p>
      <w:r>
        <w:t>Bei diesem Ausgang des Verfahrens ist von einem hälftigen Obsiegen der Beschwerdeführerin auszugehen. Es ist ihr in Anwendung von Art. 64 Abs. 1 VwVG eine Parteientschädigung für ihr erwachsene notwendige Vertretungskosten zuzusprechen. Der Rechtsvertreter reichte am 17. Juli 2009 die Kostennote ein, gemäss welcher er für die beiden Verfahren der Beschwerdeführerin und ihres Ehemannes einen Aufwand von insgesamt 11.5 Stunden und Auslagen in der Höhe von Fr. 74.-- geltend machte. Der in Rechnung gestellte Aufwand erscheint angemessen, weshalb den Beschwerdeführenden unter Berücksichtigung der Bemessungsgrundsätze nach Art. 7 ff. des Reglements vom 21. Februar 2008 über die Kosten und Entschädigungen vor dem Bundesverwaltungsgericht (VGKE, SR 173.320.2), des hälftigen Obsiegens und eines Stundenansatzes von Fr. 230.-- eine Parteientschädigung für beide Verfahren von Fr. 1'463.-- (inkl. Auslagen und Mehrwertsteuer) zuzusprechen ist. Das Bundesamt wird angewiesen, der Beschwerdeführerin für ihr Verfahren die Hälfte dieser Summe, also Fr. 731.50,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