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E-3438/2022 vom 11. November 2022</w:t>
      </w:r>
    </w:p>
    <w:p>
      <w:r>
        <w:t>Bundesverwaltungsgericht, 2022-11-11, FR</w:t>
      </w:r>
    </w:p>
    <w:p>
      <w:r>
        <w:rPr>
          <w:b/>
        </w:rPr>
        <w:t xml:space="preserve">Quelle: </w:t>
      </w:r>
      <w:r>
        <w:t>https://mcp.opencaselaw.ch/entscheid/bvger_E-3438_2022</w:t>
      </w:r>
    </w:p>
    <w:p>
      <w:r>
        <w:t>FR: TAF E-3438/2022 du 11 novembre 2022</w:t>
      </w:r>
    </w:p>
    <w:p>
      <w:r>
        <w:t>IT: TAF E-3438/2022 del 11 novembre 2022</w:t>
      </w:r>
    </w:p>
    <w:p>
      <w:pPr>
        <w:pStyle w:val="Heading2"/>
      </w:pPr>
      <w:r>
        <w:t>Regeste</w:t>
      </w:r>
    </w:p>
    <w:p>
      <w:r>
        <w:t>Exécution du renvoi</w:t>
      </w:r>
    </w:p>
    <w:p>
      <w:pPr>
        <w:pStyle w:val="Heading2"/>
      </w:pPr>
      <w:r>
        <w:t>Erwägungen</w:t>
      </w:r>
    </w:p>
    <w:p>
      <w:r>
        <w:rPr>
          <w:b/>
        </w:rPr>
        <w:t>E. 11</w:t>
      </w:r>
    </w:p>
    <w:p>
      <w:r>
        <w:t>novembre 2016, accessible sous le lien Internet https://www.ilo.org/ global/topics/cooperatives/news/_534835/lang--en/index.htm ; sources consultées le 3 novembre 2022), de sorte que rien n’indique qu’il ne pourra pas obtenir à terme une activité lucrative lui permettant de subvenir à ses besoins de manière indépendante, qu’il est rappelé que lors de l'exécution du renvoi,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et réf. cit.), qu’en outre, des conditions de vie précaires dans un pays ne suffisent pas en soi à réaliser une mise en danger concrète au sens de la loi et de la jurisprudence (cf. notamment arrêt E-5118/2021 du 7 décembre 2021 consid. 5.4 et jurisp. cit.), que par ailleurs, en plus de l’octroi d’une aide individuelle au retour telle que prévue à l'art. 93 al. 1 let. d LAsi et aux art. 73 ss de l’ordonnance 2 du 11 août 1999 sur l’asile relative au financement (OA 2, RS 142.312), le recourant pourra présenter, en cas de besoin, une demande d’aide complémentaire matérielle (art. 74 al. 3 et 4 OA 2) en vue de faciliter sa réinsertion au pays, qu’enfin, l’intéressé ne peut pas se prévaloir de sa bonne intégration en Suisse pour s’opposer à l’exécution de son renvoi, qu’en effet, selon une jurisprudence constante du Tribunal, encore rappelée dans un récent arrêt de principe (cf. E-3822/2019 du 28 octobre 2020 consid. 4.1 à 4.4 et jurisp. cit., publié en partie sous ATAF 2020 VI/9), le degré d’intégration en Suisse, concernant les adultes, ne constitue pas un critère justifiant le prononcé d’une admission provisoire au sens de l’art. 83 LEI (cf. également ATAF 2009/52 consid. 10.3), que dans ces conditions, l’exécution du renvoi est raisonnablement exigible, que cette mesure est enfin possible (art. 83 al. 2 LEI ; cf. ATAF 2008/34 consid. 12 et jurisp. cit.), le recourant étant tenu de collaborer à l'obtention</w:t>
      </w:r>
    </w:p>
    <w:p>
      <w:r>
        <w:t>E-3438/2022 Page 12 de documents de voyage lui permettant de retourner dans son pays d'origine (art. 8 al. 4 LAsi), que la décision attaquée ne viole dès lors pas le droit fédéral, a établi de manière exacte et complète l'état de fait pertinent (art. 106 al. 1 LAsi) et, dans la mesure où ce grief peut être examiné (art. 49 PA ; cf. ATAF 2014/26 consid. 5), n'est pas inopportune, qu’il s’ensuit que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requête du recourant tendant à la dispense de l’avance de frais de procédure est devenue sans objet, que compte tenu de l'issue de la cause, il y a lieu de mettre les frais de procédure à la charge de l’intéressé, conformément aux art. 63 al. 1 PA et art. 2 et 3 let. a du règlement du 21 février 2008 concernant les frais, dépens et indemnités fixés par le Tribunal administratif fédéral (FITAF, RS 173.320.2),</w:t>
      </w:r>
    </w:p>
    <w:p>
      <w:r>
        <w:t>(dispositif : page suivante)</w:t>
      </w:r>
    </w:p>
    <w:p>
      <w:r>
        <w:t>E-3438/2022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