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E-3438/2010 vom 18. November 2010</w:t>
      </w:r>
    </w:p>
    <w:p>
      <w:r>
        <w:t>Bundesverwaltungsgericht, 2010-11-18, FR</w:t>
      </w:r>
    </w:p>
    <w:p>
      <w:r>
        <w:rPr>
          <w:b/>
        </w:rPr>
        <w:t xml:space="preserve">Quelle: </w:t>
      </w:r>
      <w:r>
        <w:t>https://mcp.opencaselaw.ch/entscheid/bvger_E-3438_2010</w:t>
      </w:r>
    </w:p>
    <w:p>
      <w:r>
        <w:t>FR: TAF E-3438/2010 du 18 novembre 2010</w:t>
      </w:r>
    </w:p>
    <w:p>
      <w:r>
        <w:t>IT: TAF E-3438/2010 del 18 novembre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lequel statue définitivement en cette matière, conformément à l'art. 105 de la loi sur l'asile du 26 juin 1998 (LAsi, RS 142.31).</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Pour satisfaire aux exigences de vraisemblance requises par l'art. 7 LAsi, les allégations du requérant d'asile doivent être consistantes, crédibles et plausibles. Elles ne sont pas suffisamment consistantes lorsqu'il s'en tient à des banalités et n'est pas à même de fournir des indications concrètes et détaillées sur les événements qu'il a personnellement vécus ou sur des faits qu'il est censé connaître. Il est en effet admis que chaque personne qui a vécu une situation particulière doit être en mesure de la décrire de manière détaillée, précise et concrète, la vraisemblance de propos trop généraux, voire stéréotypés étant généralement écartée (sur ces questions, cf. W. KÄLIN, Grundriss des Asylverfahrens, Bâle/Francfort-sur-le-Main 1990, p. 304). En l'occurrence, le recourant dit être recherché à cause de son ancien associé, un ressortissant chinois, entre-temps décédé, que les autorités mongoles auraient accusé de détenir des "documents concernant des secrets d'Etat en rapport avec les richesses du pays". Le recourant ne dit toutefois quasi rien de ces documents ; notamment, il n'explique pas en quoi leur détention, qui semble liée à la concession d'un gisement aurifère que lui-même et son ex-associé se seraient vu octroyer à L._______, et le fait que, selon ses documents, son père aurait été propriétaire de houillères (ou mines de charbon), seraient constitutifs d'un délit d'espionnage (cf. pv d'audition du 20 janvier 2010, F. 181 et 220). Pour autant, les moyens ne lui ont pas manqué d'être plus explicite à ce sujet puisque sa mère lui aurait lu une lettre de son père dans laquelle celui-ci se serait expliqué sur ces questions. En outre, il ne paraît pas qu'il lui aurait été impossible de produire une copie de l'article qu'un journal ("P._______") aurait, selon lui, publié sur cette affaire. De fait, peu substantielles, ses allégations n'amènent en définitive pas à croire qu'il serait en danger dans son pays.</w:t>
      </w:r>
    </w:p>
    <w:p>
      <w:r>
        <w:rPr>
          <w:b/>
        </w:rPr>
        <w:t>E. 3.2</w:t>
      </w:r>
    </w:p>
    <w:p>
      <w:r>
        <w:t>Pour être crédibles, des déclarations doivent être cohérentes, en ce sens que leur auteur ne doit pas se contredire sur des éléments essentiels de ses déclarations. Dans le présent cas, hormis la date de son accident de moto sur laquelle le recourant ne s'est effectivement pas contredit, contrairement à ce qu'en a dit l'ODM, force est de constater que les intéressés n'ont pas été en mesure de justifier valablement leurs contradictions sur la manière dont les documents d'identité qu'ils avaient produits étaient entrés en leur possession, sur le sort réservé à leurs passeports et sur la manière dont la soeur de la requérante avait réussi à lui obtenir une carte d'identité. Dès lors, les circonstances dans lesquelles ils disent être venus en Suisse sont sujettes à caution. Il n'est en effet pas logique que, quand ils étaient encore à N._______, ils aient demandé à la soeur de la recourante de leur obtenir une carte d'identité pour cette dernière et un permis de conduire pour le recourant en vue de leur future installation à l'étranger et qu'ensuite, à F._______, ils se soient débarrassés de leurs passeports qu'ils avaient déjà avec eux à Pekin (cf. pv d'audition précité, F 54). Enfin, le Tribunal constate que loin d'avoir fait preuve à leur endroit de prévention, le collaborateur de l'ODM, qui les a (longuement) entendus, a systématiquement fait en sorte d'attirer leur attention sur leurs incohérences et autres contradictions de façon à les laisser s'expliquer, ce qu'ils ont fait sans grande conviction. Enfin, dans sa décision, l'ODM ne s'est référé que deux fois à la demande du 11 décembre 2009 enregistrée sous la cote "B 1" et il n'est pas du tout crédible que les recourants n'aient pas eu connaissance du contenu de cette pièce, dès lors qu'ils l'ont personnellement signée, de la même manière qu'ils ont signé les procès-verbaux de leurs auditions. En outre, le recourant a été en mesure d'affirmer à juste titre qu'il ne s'était pas contredit sur la date de son accident de motocyclette ; or cet argument que l'ODM a opposé au recourant dans sa décision, reposait entre autres sur cette pièce.</w:t>
      </w:r>
    </w:p>
    <w:p>
      <w:r>
        <w:rPr>
          <w:b/>
        </w:rPr>
        <w:t>E. 3.3</w:t>
      </w:r>
    </w:p>
    <w:p>
      <w:r>
        <w:t>Le recourant dit aussi être spécifiquement recherché par la section criminelle et le contre-espionnage dont les activités n'incluraient pas l'émission d'avis de recherche, de mandats d'amener ou d'arrêt. Il lui serait ainsi impossible de prouver qu'il est effectivement recherché. De fait, dans la mesure où il s'en prévaut pour obtenir l'asile en Suisse, il revenait au recourant de rendre au moins vraisemblable cette situation, notamment en établissant qu'il est notoire qu'en Mongolie, la section criminelle et le contre-espionnage lancent arbitrairement sans en référer à qui que ce soit des poursuites contre tout un chacun. Faute de l'avoir fait, il doit se laisser opposer les constatations de l'ODM selon lesquelles ses déclarations en la matière ne correspondent pas aux procédures en vigueur dans ce pays. Sur ce point, le Tribunal relèvera encore que le 28 juin 2000, le Conseil fédéral a désigné la Mongolie comme Etat exempt de persécutions, soit un Etat dont on peut présumer que les ressortissants sont à l'abri de toute persécution, cette présomption pouvant être renversée par l'apport d'indices contraires. Dans le présent cas, de tels indices font défaut.</w:t>
      </w:r>
    </w:p>
    <w:p>
      <w:r>
        <w:rPr>
          <w:b/>
        </w:rPr>
        <w:t>E. 3.4</w:t>
      </w:r>
    </w:p>
    <w:p>
      <w:r>
        <w:t>Enfin, les explications des recourants selon lesquelles ils auraient trompé les autorités suisses parce qu'on leur aurait dit qu'en agissant ainsi ils auraient une meilleure chance de voir leur demande d'asile acceptée ne convainquent pas. De fait, ces explications ne laissent en rien entrevoir que les recourants auraient eu quelques raisons compréhensibles de redouter quoi que ce soit des autorités suisses ; elles amènent plutôt le Tribunal à penser une nouvelle fois que les recourants n'ont rien à craindre dans leur pays.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6.2</w:t>
      </w:r>
    </w:p>
    <w:p>
      <w:r>
        <w:t>Le Tribunal retient aussi qu'au vu de l'invraisemblance du récit, relevée plus haut, et du manque de crédibilité des risques de persécutions invoqués,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l'occurrence, eu égard à la situation en Mongolie, pays qui ne connaît pas actuellement de guerre, de guerre civile ou de violences généralisées qui permettraient d'emblée - et indépendamment des circonstances du cas d'espèce - de présumer, à propos de tous les ressortissants du pays, l'existence d'une mise en danger concrète au sens de l'art. 83 al. 4 LEtr, eu égard aussi à la situation des recourants qui n'a pas fondamentalement changé depuis l'arrêt du Tribunal du 7 juillet 2009,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Infondé, le recours est rejeté sans qu'il soit nécessaire de procéder à un échange d'écritures (cf. art. 111a al. 1 LAsi).</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