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E-3437/2017 vom 23. Januar 2018</w:t>
      </w:r>
    </w:p>
    <w:p>
      <w:r>
        <w:t>Bundesverwaltungsgericht, 2018-01-23, DE</w:t>
      </w:r>
    </w:p>
    <w:p>
      <w:r>
        <w:rPr>
          <w:b/>
        </w:rPr>
        <w:t xml:space="preserve">Quelle: </w:t>
      </w:r>
      <w:r>
        <w:t>https://mcp.opencaselaw.ch/entscheid/bvger_E-3437_2017</w:t>
      </w:r>
    </w:p>
    <w:p>
      <w:r>
        <w:t>FR: TAF E-3437/2017 du 23 janvier 2018</w:t>
      </w:r>
    </w:p>
    <w:p>
      <w:r>
        <w:t>IT: TAF E-3437/2017 del 23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4.1</w:t>
      </w:r>
    </w:p>
    <w:p>
      <w:r>
        <w:t>Die Vorinstanz gelangt in der angefochtenen Verfügung zum Schluss, beide Gutachten hielten fest, dass die Beschwerdeführerin zwar einige landeskundlich-kulturelle Kenntnisse habe nachweisen können. In ihren Antworten würden sich jedoch mehrere unerklärbare Lücken und Unstimmigkeiten finden. Von einer Person, die 19 Jahre in Tibet gelebt habe, dürfe erwartet werden, dass sie mehr als nur eine Nachbargemeinde und einen Nachbarkreis nennen könne. Auf die Frage, welche Kreise durchquert werden müssen, um von ihrem Kreis nach K._______ zu gelangen, habe sie einen korrekten Kreis genannt, jedoch auch andere, die auf diesem Weg nicht durchquert werden müssen. Des Weiteren erstaune ihre Antwort auf die Frage nach Bergen in ihrer angegebenen Herkunftsregion. Sie habe einen Berg genannt, der mehrere hundert Kilometer entfernt liege. Einen sehr bekannten Berg ihrer Gegend, der auch viele Touristen anziehe, habe sie hingegen nicht genannt. Sie habe verschiedene Feldfrüchte erwähnt, die in ihrer Gegend angepflanzt würden. Für ein tierisches Produkt habe sie einen für das Innertibetische unidiomatischen Ausdruck verwendet und habe angefügt, dass es dafür keine anderen Bezeichnungen gebe. Dies treffe jedoch nicht zu. Dieser von ihr nicht genannte Ausdruck gehöre zum Grundwortschatz einer Person mit der von ihr angegebenen Biografie. Sie habe weiter angegeben, niemand in ihrer Familie würde ein Mobiltelefon benutzen. Diese Aussage erstaune, da die Nutzung von Mobiltelefonen in ihrer Heimatregion weit verbreitet sei und sie erstaune umso mehr, als sie angegeben habe, ihr Bruder sei als (...) tätig. Unerwartet seien auch ihre Angaben betreffend dem Erwerb von Salz und zum Waschen von Kleidern. Die von ihr gemachten Angaben hätten wohl in der Vergangenheit zugetroffen. Heutzutage sei es jedoch unwahrscheinlich, dass auf die von ihr geschilderte Art Salz erworben werde, respektive Kleider gewaschen werden. Des Weiteren seien ihr spezifische Namen von öffentlichen Einrichtungen in der Gemeindehauptstadt nicht bekannt. Aufgrund der Nähe ihres Dorfes zur Gemeindehauptstadt wäre dies indes zu erwarten gewesen. Zusammenfassend seien beide Gutachten zum Schluss gekommen, dass ihre landeskundlich-kulturellen Kenntnisse nicht zwingendermassen in Tibet erworben worden seien. Ihre Kenntnisse seien teilweise lückenhaft und unbefriedigend. Eine Hauptsozialisation im Kreis D._______ scheine daher zweifelhaft. Diese Schlussfolgerungen würden durch die Ergebnisse der linguistischen Analysen gestützt. Hierzu sei anzumerken, dass die Sprache der Beschwerdeführerin auf allen Ebenen - des Lexikons, der Phonetik und der Morphologie - Einflüsse exiltibetischer Sprachen aufweise. Ihre Sprache weise auf allen Ebenen praktisch keine Ähnlichkeit mit dem Dialekt ihrer geltend gemachten Herkunftsregion auf, hingegen mit dem Lhasa-Dialekt und der exiltibetischen Koine. Solche Einflüsse seien nicht mit ihren kurzen Aufenthalten in Nepal und der Schweiz erklärbar. Zudem würden ihre rudimentären Chinesisch Kenntnisse erstaunen. Die beiden Experten seien deshalb zum Schluss gekommen, dass die Beschwerdeführerin sehr wahrscheinlich nicht im von ihr angegeben Kreis D._______ in Tibet sozialisiert worden sei, sondern sehr wahrscheinlich in einer exiltibetischen Gemeinschaft ausserhalb der Volksrepublik China. Das Ergebnis der beiden Gutachten entziehe ihren Asylgründen und ihren Aussagen zur Ausreise somit jegliche Grundlage. Überdies erstaune, dass der Mann, dem sie die Waren übergeben hätten, sie telefonisch über den Vorfall habe informieren können. Es sei nicht glaubhaft, dass jemand, bei dem die chinesischen Behörden tatsächlich solches Material gefunden hätten, die Möglichkeit habe, zeitnah jemanden darüber zu informieren. Den Grenzübertritt nach Nepal habe sie zwar relativ ausführlich schildern können. Dennoch erscheine die von ihr geschilderte Ausreise weder glaubhaft noch logisch nachvollziehbar. Da es keinen Übergang über den Fluss gegeben habe, habe ein neuer konstruiert werden müssen. Einerseits würde sich der Schlepper durch diese Verzögerung unnötig in Gefahr bringen. Andererseits sei nicht glaubhaft, dass ein Baumstamm in der von ihr geschilderten Grösse nachts mit Muskelkraft durch unwegsames Gelände habe transportiert werden können. Ihre Aussagen zu den Asylgründen und zur illegalen Ausreise hielten den Anforderungen an das Glaubhaftmachen nicht stand und stützten somit die beiden Gutachten.</w:t>
      </w:r>
    </w:p>
    <w:p>
      <w:r>
        <w:rPr>
          <w:b/>
        </w:rPr>
        <w:t>E. 4.2</w:t>
      </w:r>
    </w:p>
    <w:p>
      <w:r>
        <w:t>In der Rechtmitteleingabe macht die Beschwerdeführerin vorab eine Verletzung des rechtlichen Gehörs geltend. Die Vorinstanz habe sich nicht mit ihrer Stellungnahme auseinandergesetzt, sondern weise sie pauschal als ungeeignet ab, um das Gutachten in Frage zu stellen. Zudem könnten keine konkreten Einwände zu den angeblichen Fehlern und Mängeln in den Aussagen erhoben werden, da dazu in der angefochtenen Verfügung keine Begründung erfolgt sei. Weiter sei unklar, um welche Person es sich beim Interviewpartner gehandelt habe und welchen Dialekt diese gesprochen habe. Um Fehler und Missverständnisse zu vermeiden, wäre es begrüssenswert, dass das Interview durch eine sachverständige Person durchgeführt werde.</w:t>
      </w:r>
    </w:p>
    <w:p>
      <w:r>
        <w:rPr>
          <w:b/>
        </w:rPr>
        <w:t>E. 4.3</w:t>
      </w:r>
    </w:p>
    <w:p>
      <w:r>
        <w:t>In ihrer Vernehmlassung führte die Vorinstanz aus, das Urteil D-2506/2016 des Bundesverwaltungsgerichts vom 24. Mai 2016 halte fest, dass der sachverständigen Person zweifellos die fachliche Qualifikation zukomme, die Frage zu beantworten, wo die Sozialisation der Beschwerdeführerin stattgefunden habe. Dies gelte auch - wie den Akten zu entnehmen sei - im vorliegenden Fall. Ausnahmsweise hätten zwei Experten das Gespräch ausgewertet. Beide seien in ihrem Gutachten zum gleichen Schluss gekommen, nämlich dass die Beschwerdeführerin nicht in der von ihr genannten Region sozialisiert worden sei.</w:t>
      </w:r>
    </w:p>
    <w:p>
      <w:r>
        <w:rPr>
          <w:b/>
        </w:rPr>
        <w:t>E. 4.4</w:t>
      </w:r>
    </w:p>
    <w:p>
      <w:r>
        <w:t>Die Fachstelle LINGUA hat sowohl eine landeskundlich-kulturelle als auch eine linguistische Analyse durchgeführt. Die Lingua-Analyse hat zwar nicht den Stellenwert eines Sachverständigengutachtens, jedoch kommt ihr erhöhter Beweiswert zu, wenn die gebotenen Anforderungen an die fachliche Qualifikation, Objektivität und Neutralität des Experten sowie die inhaltliche Schlüssigkeit und Nachvollziehbarkeit erfüllt sind (vgl. dazu BVGE 2014/12 E. 4.2.1 m.w.H.). Dies ist vorliegend unbestrittenermassen der Fall (vgl. SEM-Akten A20/1 und 21/1 betreffend Werdegang und Qualifikation der Experten). Indessen stellt sich die Frage, ob die aufgrund überwiegender öffentlicher und privater Geheimhaltungsinteressen an sich zu Recht verweigerte vollumfängliche Offenlegung der Lingua-Analyse (vgl. Art. 27 Abs. 1 VwVG) in casu vor dem Grundsatz des Anspruchs auf Wahrung des rechtlichen Gehörs (Art. 29 BV und Art. 29 VwVG) standhält. Vorausgesetzt ist hierbei, dass der asylsuchenden Person vom wesentlichen Inhalt des Gutachtens Kenntnis gegeben wird mit der Möglichkeit, sich dazu zu äussern und Gegenbeweise zu bezeichnen (Art. 28 und 30 VwVG). Vorliegend hat die Vorinstanz die im Rahmen der Analyse bemängelten Aussagen der Beschwerdeführerin hinreichend detailliert aufgezeigt, sodass sie im Einzelnen dazu Stellung nehmen konnte. Der Grundsatz des rechtlichen Gehörs im Rahmen einer Lingua-Analyse setzt nicht eine Offenlegung der richtigen Antworten zu konkret gestellten Fragen voraus. Die Vorinstanz hat die konkreten Themenbereiche, zu denen die Beschwerdeführerin falsche Antworten gegeben hat, genügend eingegrenzt und konkretisiert. Sodann hat die Vorinstanz - entgegen der in der Beschwerde vertretenen Ansicht - die Stellungnahme der Beschwerdeführerin vom 22. April 2017 berücksichtigt. Die Feststellung in der angefochtenen Verfügung, wonach sie im Rahmen des rechtlichen Gehörs lediglich ihre früheren Aussagen wiederholte und diese nicht geeignet seien, die Gutachten in Frage zu stellen, ist nicht zu bemängeln. Der Gehörsanspruch der Beschwerdeführerin kann vorliegend als gewahrt betrachtet werden. Bezüglich des Vorbringens, wonach unklar sei, wer das Telefoninterview durchgeführt habe, ist festzuhalten, dass keine Pflicht der Behörde besteht, die Eckdaten der bloss befragenden Person, welche keine Beurteilung des Gesprächs vorgenommen hat, sondern lediglich die Grundlage für eine spätere Beurteilung durch einen Experten geschaffen hat, offenzulegen. Den Gutachten der beiden Experten kann sodann entnommen werden, dass sich die Beschwerdeführerin und die Interviewerin gut verstanden haben beziehungsweise einige geringfügige Missverständnisse durch Erläuterungen geklärt werden konnten. Die Lingua-Analysen und die daraus gezogenen Schlüsse sind somit im vorliegenden Verfahren verwertbar.</w:t>
      </w:r>
    </w:p>
    <w:p>
      <w:r>
        <w:rPr>
          <w:b/>
        </w:rPr>
        <w:t>E. 5.1</w:t>
      </w:r>
    </w:p>
    <w:p>
      <w:r>
        <w:t>In der Sache selber ist die vorinstanzliche Beweiswürdigung nicht zu beanstanden. Die Verfügung ist einlässlich begründet und stützt sich auf zwei fundierte Lingua-Analysen, welche zum gleichen Ergebnis gelangten. Auch wenn der Beschwerdeführerin beizupflichten ist, dass sie das Mobiltelefon ihres Bruders in der Anhörung erwähnt hat, vermag dieser Umstand die Ergebnisse der Lingua-Analysen nicht in Frage zu stellen. Aus den Hinweisen, sie habe kaum Schulunterricht genossen, sei nicht viel gereist, habe in einfachen Verhältnissen gelebt und einzig den Haushalt geführt, vermag sie nichts zu ihren Gunsten abzuleiten. Entgegen den Ausführungen in der Beschwerde hat die Vorinstanz nicht nur Aspekte abgehandelt, welche gegen die Sozialisation in der angeblichen Heimatregion und die Glaubhaftigkeit ihrer Asylvorbringen sprechen, sondern auch diejenigen, welche dafür sprechen (namentlich die zutreffenden geografischen Schilderungen und die Ausführungen zum Grenzübertritt nach Nepal). In Würdigung sämtlicher Elemente wurde schliesslich das Fazit gezogen, dass die Aussagen der Beschwerdeführerin den Anforderungen an das Glaubhaftmachen nicht standhielten und somit die beiden Gutachten stützen würden. Die Beschwerdeführerin zeigt mit dem Wiederholen des Sachverhalts und dem Festhalten daran, sie habe widerspruchsfrei und detailliert ausgesagt, nicht auf, inwiefern die Vorinstanz zu Unrecht von der Unglaubhaftigkeit ihrer Aussagen ausgegangen ist. Solches ist auch nicht ersichtlich. Um Wiederholungen zu vermeiden, kann auf die entsprechenden Erwägungen in der angefochtenen Verfügung verwiesen werden.</w:t>
      </w:r>
    </w:p>
    <w:p>
      <w:r>
        <w:rPr>
          <w:b/>
        </w:rPr>
        <w:t>E. 5.2</w:t>
      </w:r>
    </w:p>
    <w:p>
      <w:r>
        <w:t>Wie vorstehend dargelegt, bestehen Zweifel an der Herkunft der Beschwerdeführerin. Das auf Beschwerdeebene eingereichte Schreiben der Gemeinde C._______ im Original vermag daran nichts zu ändern. Das Gericht hat aus verschiedenen Gründen Zweifel an der Echtheit des Dokuments. Der Inhalt des Schreibens, wonach sie im Jahr (...) in der Gemeinde C._______ geboren worden sei und bis im Jahr 2014 dort gelebt habe, wird lediglich behauptet und durch nichts belegt. Die in Aussicht gestellte Übersetzung des Schreibens wurde bis heute nicht nachgereicht und Gründe für das Ausbleiben nicht dargetan. Sodann vermögen die Ausführungen betreffend die Zustellung des Schreibens wenig zu überzeugen und der eingereichte Postlieferschein belegt jedenfalls nicht, dass damit das Schreiben auch zugestellt wurde. Weiter hat die Beschwerdeführerin gemäss eigenen Angaben weder eine Identitätskarte noch einen Pass besessen. Es ist deshalb fraglich, auf welcher Grundlage die Behörde die Bestätigung ausgestellt haben sollte. In Anbetracht der Tatsache, dass die Beschwerdeführerin die Bestätigung aufgrund ihres Aufenthaltes nicht persönlich beantragen konnte, bestehen grosse Zweifel an deren rechtmässigen Ausstellung. Vor diesem Hintergrund vermag die Beschwerdeführerin aus dem Schreiben nichts für sich abzuleiten.</w:t>
      </w:r>
    </w:p>
    <w:p>
      <w:r>
        <w:rPr>
          <w:b/>
        </w:rPr>
        <w:t>E. 5.3</w:t>
      </w:r>
    </w:p>
    <w:p>
      <w:r>
        <w:t>Nach dem Gesagten ist weder die Identität noch die Staatsangehörigkeit beziehungsweise das Herkunftsland der Beschwerdeführerin geklärt. Ihr Verhalten stellt eine Verletzung der ihr obliegenden Mitwirkungspflicht (Art. 8 AsylG) dar. Durch die Verletzung dieser Pflicht verunmöglicht sie die Abklärung, welchen effektiven Status sie im Staat ihres vormaligen Aufenthalts hatte. In Übereinstimmung mit der Vorinstanz ist vorliegend anzunehmen, dass die Beschwerdeführerin zwar ethnische Tibeterin ist und nicht ausgeschlossen werden kann, dass sie die chinesische Staatsangehörigkeit besitzt, jedoch mit überwiegender Wahrscheinlichkeit nicht in der Volksrepublik China, sondern in der exiltibetischen Diaspora sozialisiert wurde. Es liegt keine illegale Ausreise der Beschwerdeführerin aus China und somit kein subjektiver Nachfluchtgrund vor.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5.4</w:t>
      </w:r>
    </w:p>
    <w:p>
      <w:r>
        <w:t>Zusammenfassend ist festzuhalten, dass die Beschwerdeführerin weder die Flüchtlingseigenschaft im Zeitpunkt ihrer Ausreise noch subjektive Nachfluchtgründe nachzuweisen oder glaubhaft zu machen vermag. Die Vorinstanz hat das Asylgesuch zu Recht abgelehnt.</w:t>
      </w:r>
    </w:p>
    <w:p>
      <w:r>
        <w:rPr>
          <w:b/>
        </w:rPr>
        <w:t>E. 6</w:t>
      </w:r>
    </w:p>
    <w:p>
      <w:r>
        <w:t>Gemäss Art. 44 AsylG verfügt das Staatssekretariat in der Regel die Wegweisung aus der Schweiz und ordnet den Vollzug an, wenn es das Asylgesuch ablehnt. 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wies in ihrer angefochtenen Verfügung zutreffend darauf hin, dass das Prinzip des flüchtlingsrechtlichen Non-Refoulement nur Per-sonen schützt, die die Flüchtlingseigenschaft erfüllen. Eine weitergehende Prüfung von Vollzugshindernissen erübrigt sich angesichts des Umstandes, dass die Beschwerdeführerin der ihr obliegenden und zumutbaren Mitwirkungspflicht (Art. 8 AsylG) hinsichtlich Herkunft, Staatsangehörigkeit und Identität nicht nachzukommen gewillt ist. Es kann diesbezüglich auf die Erwägungen der Vorinstanz sowie auf E. 5.3 Abs. 1 und E. 6 des erwähnten Urteils BVGE 2014/12 verwiesen werden.</w:t>
      </w:r>
    </w:p>
    <w:p>
      <w:r>
        <w:rPr>
          <w:b/>
        </w:rPr>
        <w:t>E. 7.4</w:t>
      </w:r>
    </w:p>
    <w:p>
      <w:r>
        <w:t>Die Beschwerdeführerin ist unbestrittenermassen tibetischer Ethnie, weshalb möglich ist, dass sie die chinesische Staatsangehörigkeit besitzt. Ein Wegweisungsvollzug nach China ist deshalb - in Übereinstimmung mit dem Dispositiv der angefochtenen Verfügung - auszuschliessen, da ihr dort gegebenenfalls eine Refoulement-Verletzung droht.</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Bei diesem Ausgang des Verfahrens wären die Kosten der Beschwerdeführerin aufzuerlegen (Art. 63 Abs. 1 VwVG). Da der Antrag auf Gewährung der unentgeltlichen Prozessführung mit Zwischenverfügung vom 18. Juli 2017 gutgeheissen wurde, sind keine Kosten zu erheben.</w:t>
      </w:r>
    </w:p>
    <w:p>
      <w:r>
        <w:rPr>
          <w:b/>
        </w:rPr>
        <w:t>E. 9.2</w:t>
      </w:r>
    </w:p>
    <w:p>
      <w:r>
        <w:t>Mit Zwischenverfügung vom 18. Juli 2017 wurde der Beschwerdeführerin die unentgeltliche Rechtsverbeiständung gewährt und MLaw Ana Lucia Gallmann als amtliche Vertreterin eingesetzt. Die Rechtsvertreterin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Der amtlichen Vertreterin ist durch das Bundesverwaltungsgericht ein amtliches Honorar gestützt auf die in Betracht zu ziehenden Bemessungsfaktoren (Art. 9 -13 VGKE) in der Höhe von Fr. 600.-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