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E-3434/2023 vom 4. August 2023</w:t>
      </w:r>
    </w:p>
    <w:p>
      <w:r>
        <w:t>Bundesverwaltungsgericht, 2023-08-04, DE</w:t>
      </w:r>
    </w:p>
    <w:p>
      <w:r>
        <w:rPr>
          <w:b/>
        </w:rPr>
        <w:t xml:space="preserve">Quelle: </w:t>
      </w:r>
      <w:r>
        <w:t>https://mcp.opencaselaw.ch/entscheid/bvger_E-3434_2023</w:t>
      </w:r>
    </w:p>
    <w:p>
      <w:r>
        <w:t>FR: TAF E-3434/2023 du 4 août 2023</w:t>
      </w:r>
    </w:p>
    <w:p>
      <w:r>
        <w:t>IT: TAF E-3434/2023 del 4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1.4</w:t>
      </w:r>
    </w:p>
    <w:p>
      <w:r>
        <w:t>Das Verfahren wird vorliegend mit demjenigen der Mutter der Beschwerdeführerin (N [...]) zeitlich koordiniert geführt. Deren vorinstanzlichen Akten sowie diejenigen des Bruders der Beschwerdeführerin (N [...]) wurden antragsgemäss beigezogen.</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2.2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2.3</w:t>
      </w:r>
    </w:p>
    <w:p>
      <w:r>
        <w:t>Im Rahmen eines Wiederaufnahmeverfahrens (engl.: take back) findet grundsätzlich keine (erneute) Zuständigkeitsprüfung nach Kapitel III statt (vgl. zum Ganzen BVGE 2019 VI/7 E. 4-6; 2017 VI/5 E. 6.2 und 8.2.1 m.w.H.).</w:t>
      </w:r>
    </w:p>
    <w:p>
      <w:r>
        <w:rPr>
          <w:b/>
        </w:rPr>
        <w:t>E. 2.4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2.5</w:t>
      </w:r>
    </w:p>
    <w:p>
      <w:r>
        <w:t>Ist ein Antragssteller insbesondere wegen schwerer Krankheit, ernsthafter Behinderung oder hohen Alters auf die Unterstützung seines Kindes, eines seiner Geschwister oder eines Elternteils angewiesen, das/der sich rechtmässig in einem Mitgliedstaat aufhält, oder trifft die umgekehrte Konstellation zu,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Urteile des BVGer F-1568/2022 vom 12. April 2022 E. 7 und F-280/2021 vom 22. Juli 2021 E. 6 m.w.H.).</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In der Beschwerde werden formelle Rügen erhoben, welche vorab zu beurteilen sind, da sie gegebenenfalls geeignet sein könnten, eine Kassation der vorinstanzlichen Verfügung zu bewirken (vgl. BGE 138 I 232 E. 5).</w:t>
      </w:r>
    </w:p>
    <w:p>
      <w:r>
        <w:rPr>
          <w:b/>
        </w:rPr>
        <w:t>E. 4.2</w:t>
      </w:r>
    </w:p>
    <w:p>
      <w:r>
        <w:t>Die Beschwerdeführerin rügt eine unvollständige beziehungsweise unrichtige Feststellung des rechtserheblichen Sachverhaltes und eine Verletzung der Begründungspflicht durch die Vorinstanz, indem ihr psychischer Zustand nicht von einer psychiatrischen Fachperson abgeklärt worden sei. Eine neurologische Untersuchung sei zwar durch die behandelnde Ärztin indiziert worden, aber bisher nicht erfolgt. Aus den vorliegenden Berichten lasse sich die Tragweite der Erkrankung nicht eruieren beziehungsweise eine juristische Einschätzung vornehmen. Auch die Frage nach allfälligem Behandlungsbedarf über eine medikamentöse Behandlung der (...) hinaus sei noch nicht geklärt.</w:t>
      </w:r>
    </w:p>
    <w:p>
      <w:r>
        <w:rPr>
          <w:b/>
        </w:rPr>
        <w:t>E. 4.3</w:t>
      </w:r>
    </w:p>
    <w:p>
      <w:r>
        <w:t>Das SEM begründet auf Seite 6 f. seiner Verfügung, weshalb es den medizinischen Sachverhalt als ausreichend erstellt erachte, um die Zulässigkeit und Verhältnismässigkeit einer Wegweisung nach Kroatien beurteilen zu können. Es stellt fest, dass eine (...) vorlägen. Es sei ein neurologisches Konsil in Auftrag gegeben und festgehalten worden, dass nach diesem gegebenenfalls eine psychiatrische Überweisung erfolgen solle. Ein neurologischer Termin sei aktuell für den (...) 2023 geplant. Die Beschwerden seien nicht von einer solchen Schwere, dass die Beschwerdeführerin deswegen unweigerlich und dauernd auf die persönliche Pflege und Betreuung durch ihren Bruder angewiesen wäre. Auch werde ihre Mutter nach Kroatien weggewiesen, weshalb sie nicht gänzlich auf sich alleine gestellt sein werde.</w:t>
      </w:r>
    </w:p>
    <w:p>
      <w:r>
        <w:rPr>
          <w:b/>
        </w:rPr>
        <w:t>E. 4.4</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4.5</w:t>
      </w:r>
    </w:p>
    <w:p>
      <w:r>
        <w:t>Im erstinstanzlichen Verfahren wurden ein Überweisungsbericht vom 19. Mai 2023, ein Konsultationsbericht vom 16. Mai 2023 (datiert auf den 22. Mai 2023) und ein weiterer Konsultationsbericht vom 30. Mai 2023 (datiert auf den 31. Mai 2023), jeweils von B._______, vorgelegt. In genannten Berichten wird ausgeführt, die Beschwerdeführerin leide an einer bekannten (...). Ferner wurde ein Arztbericht der C._______, vom 19. Juni 2023 nachgereicht. Auch darin wird unter «Diagnose» festgestellt, die Beschwerdeführerin leide (...). Unter der bestehenden Medikation habe eine Anfallsfreiheit in den letzten Jahren nicht erreicht werden können. Seit der Einreise in die Schweiz seien neu (...) aufgetreten, die am ehesten als (...) zu interpretieren seien. Diese Berichte reichen indes zur Beurteilung nicht aus, ob die Beschwerdeführerin von ihrer Mutter und/oder ihrem Bruder abhängig im Sinne von Art. 16 Dublin-III-VO ist. Das Gericht stellt daher fest, dass die Vorinstanz die gesundheitliche Situation der Beschwerdeführerin in Bezug auf eine allfällige Abhängigkeit von ihrer Mutter und/oder ihrem sich im Rahmen eines ordentlichen Asylverfahrens in der Schweiz aufhaltenden Bruder nur ungenügend abgeklärt hat. Eine entsprechende umfassende und detaillierte medizinische Einschätzung ist daher vom SEM im vorliegenden Einzelfall vorgängig einzuholen. Sollte die Beschwerdeführerin auf Hilfe angewiesen sein, wäre zu klären, ob eine solche überhaupt von ihrer Mutter gewährt werden kann (vgl. Art. 16 Abs. 1 Dublin-III-VO), zumal diese offenbar nach einem Suizidversuch in eine Klinik eingewiesen worden ist (vgl. Beschwerde S. 6). Es ist nicht Aufgabe des Gerichts, diese Untersuchungshandlungen anstelle der Vorinstanz durchzuführen. Ausserdem wäre gegebenenfalls sicherzustellen, dass die Beschwerdeführerin zusammen mit der Mutter nach Kroatien überstellt würde.</w:t>
      </w:r>
    </w:p>
    <w:p>
      <w:r>
        <w:rPr>
          <w:b/>
        </w:rPr>
        <w:t>E. 4.6</w:t>
      </w:r>
    </w:p>
    <w:p>
      <w:r>
        <w:t>Nach dem Gesagten hat die Vorinstanz den rechtserheblichen Sachverhalt in Bezug auf das geltend gemachte Abhängigkeitsverhältnis zwischen der Beschwerdeführerin und ihrer Mutter und/oder ihrem Bruder - in Verletzung der Untersuchungspflicht - nicht vollständig festgestellt und diesbezüglich auch ihre Begründungspflicht, mithin das rechtliche Gehör der Beschwerdeführerin verletzt. Der vorliegend festgestellte Verfahrensfehler wiegt schwer und eine Heilung fällt ausser Betracht. Angesichts der Rückweisung der Sache erübrigt sich eine Auseinandersetzung mit den weiteren Vorbringen auf Beschwerdeebene.</w:t>
      </w:r>
    </w:p>
    <w:p>
      <w:r>
        <w:rPr>
          <w:b/>
        </w:rPr>
        <w:t>E. 5</w:t>
      </w:r>
    </w:p>
    <w:p>
      <w:r>
        <w:t>Die Beschwerde ist gutzuheissen, soweit damit die Aufhebung der angefochtenen Verfügung beantragt wird (Beschwerdebegehren 3). Die Vor-instanz wird angewiesen, den medizinischen Sachverhalt in Bezug auf das geltend gemachte Abhängigkeitsverhältnis zwischen der Beschwerdeführerin und ihrem Bruder (N [...]) sowie zwischen ihr und ihrer Mutter (N [...]) abzuklären und eine vollumfängliche rechtliche Würdigung mit Blick auf Art. 16 Abs. 1 Dublin-III-VO im Sinne der Erwägungen vorzunehmen.</w:t>
      </w:r>
    </w:p>
    <w:p>
      <w:r>
        <w:rPr>
          <w:b/>
        </w:rPr>
        <w:t>E. 6</w:t>
      </w:r>
    </w:p>
    <w:p>
      <w:r>
        <w:t>Mit diesem Urteil werden das Gesuch um Gewährung der aufschiebenden Wirkung sowie der am 16. Juni 2023 angeordnete Vollzugstopp gegenstandslos.</w:t>
      </w:r>
    </w:p>
    <w:p>
      <w:r>
        <w:rPr>
          <w:b/>
        </w:rPr>
        <w:t>E. 7.1</w:t>
      </w:r>
    </w:p>
    <w:p>
      <w:r>
        <w:t>Bei diesem Ausgang des Verfahrens sind keine Kosten zu erheben (Art. 63 Abs. 1 und 2 VwVG). Die Gesuche der Beschwerdeführerin um Gewährung der unentgeltlichen Prozessführung und um Verzicht auf die Erhebung eines Kostenvorschusses werden damit gegenstandslos.</w:t>
      </w:r>
    </w:p>
    <w:p>
      <w:r>
        <w:rPr>
          <w:b/>
        </w:rPr>
        <w:t>E. 7.2</w:t>
      </w:r>
    </w:p>
    <w:p>
      <w:r>
        <w:t>Der vertretenen Beschwerdeführerin ist keine Parteientschädigung auszurichten, da sie durch die ihr zugewiesene unentgeltliche Rechtsvertretung im Sinne von Art. 102h AsylG vertreten wurde,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