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E-3434/2013 vom 27. August 2013</w:t>
      </w:r>
    </w:p>
    <w:p>
      <w:r>
        <w:t>Bundesverwaltungsgericht, 2013-08-27, DE</w:t>
      </w:r>
    </w:p>
    <w:p>
      <w:r>
        <w:rPr>
          <w:b/>
        </w:rPr>
        <w:t xml:space="preserve">Quelle: </w:t>
      </w:r>
      <w:r>
        <w:t>https://mcp.opencaselaw.ch/entscheid/bvger_E-3434_2013</w:t>
      </w:r>
    </w:p>
    <w:p>
      <w:r>
        <w:t>FR: TAF E-3434/2013 du 27 août 2013</w:t>
      </w:r>
    </w:p>
    <w:p>
      <w:r>
        <w:t>IT: TAF E-3434/2013 del 27 agosto 2013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sie sich gegen Dispositiv Ziff. 1 der angefochtenen Verfügung richtet.</w:t>
      </w:r>
    </w:p>
    <w:p>
      <w:r>
        <w:rPr>
          <w:b/>
        </w:rPr>
        <w:t>E. 2</w:t>
      </w:r>
    </w:p>
    <w:p>
      <w:r>
        <w:t>Im Übrigen wird die Beschwerde gutgeheissen. Dispositiv Ziff. 2 bis 4 der angefochtenen Verfügung (Wegweisung, Ausreisefrist und Wegweisungsvollzug) werden aufgehoben.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Es wird keine Parteientschädigung entrichtet.</w:t>
      </w:r>
    </w:p>
    <w:p>
      <w:r>
        <w:rPr>
          <w:b/>
        </w:rPr>
        <w:t>E. 5</w:t>
      </w:r>
    </w:p>
    <w:p>
      <w:r>
        <w:t>Dieses Urteil geht an den Beschwerdeführer, das BFM und die kantonale Migrationsbehörde. Der vorsitzende Richter: Der Gerichtsschreiber: Walter Stöckli Tobias Grasdorf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