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E-3425/2017 vom 6. Juli 2017</w:t>
      </w:r>
    </w:p>
    <w:p>
      <w:r>
        <w:t>Bundesverwaltungsgericht, 2017-07-06, DE</w:t>
      </w:r>
    </w:p>
    <w:p>
      <w:r>
        <w:rPr>
          <w:b/>
        </w:rPr>
        <w:t xml:space="preserve">Quelle: </w:t>
      </w:r>
      <w:r>
        <w:t>https://mcp.opencaselaw.ch/entscheid/bvger_E-3425_2017</w:t>
      </w:r>
    </w:p>
    <w:p>
      <w:r>
        <w:t>FR: TAF E-3425/2017 du 6 juillet 2017</w:t>
      </w:r>
    </w:p>
    <w:p>
      <w:r>
        <w:t>IT: TAF E-3425/2017 del 6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dass die Aussagen des Beschwerdeführers zur Dauer seiner Geiselnahme und zum Vorfall mit seinem Sohn widersprüchlich ausgefallen seien. Seine Schilderungen, insbesondere zur Bedrohungslage in Kabul, seien vage und unsubstantiiert ausgefallen. Es entstehe der Eindruck, dass es sich bei der dargestellten Verfolgungssituation lediglich um ein Konstrukt handle. Aus den eingereichten Fotos seiner Ehefrau könne nicht auf die Ursache der dargestellten Verletzung geschlossen werden. Zudem komme den Fotos nur beschränkter Beweiswert zu. Den Konflikt mit seinem Bruder habe er erstmals an der Anhörung erwähnt.</w:t>
      </w:r>
    </w:p>
    <w:p>
      <w:r>
        <w:rPr>
          <w:b/>
        </w:rPr>
        <w:t>E. 4.2</w:t>
      </w:r>
    </w:p>
    <w:p>
      <w:r>
        <w:t>Der Beschwerdeführer bringt vor, an der Befragung sei er aufgefordert worden, sich kurz zu halten. Deswegen habe er seine Gesuchsgründe nicht vollständig vorbringen können. Im Wesentlichen würden die Angaben jedoch mit jenen in der Anhörung übereinstimmen. Das Schreiben vom 8. Juni 2016 sei ihm nicht bekannt und er habe von dessen Inhalt keine Kenntnis. Seine Vorbringen anlässlich der Anhörung seien detailliert. Er habe den Ablauf der Entführung genau geschildert. Er sei aufgrund des Streits mit seinem Bruder entführt und gefoltert worden. Da er sich auch nach seiner Freilassung in Lebensgefahr befunden habe und von der afghanischen Polizei keine Schutz zu erwarten gehabt habe, habe er aus Afghanistan flüchten müssen.</w:t>
      </w:r>
    </w:p>
    <w:p>
      <w:r>
        <w:rPr>
          <w:b/>
        </w:rPr>
        <w:t>E. 4.3</w:t>
      </w:r>
    </w:p>
    <w:p>
      <w:r>
        <w:t>Die Befragung zur Person wird zwar kurz gehalten, was aber nicht zu erklären vermag, weshalb der Beschwerdeführer wesentliche Punkte nicht genannt oder anders dargestellt hat als in der Anhörung. Bei der Befragung gab der Beschwerdeführer auf die Frage nach seinen Aufenthaltsorten seit der Rückkehr nach Afghanistan an, er sei in B._______ und Herat gewesen. An der Anhörung fügte er einen viermonatigen Aufenthalt in Kabul kurz vor seiner Ausreise hinzu. Während dieses Aufenthalts sei er zwei bis drei Mal von einem Auto verfolgt worden. Vermutlich hätten sie seinen Wohn- und Aufenthaltsort herausfinden und ihn wieder entführen wollen. Dass er dies erstmals an der Anhörung erwähnte, erstaunt umso mehr, als ihn - gemäss seiner Schilderung - die Verfolgung in Kabul letztlich zur Ausreise bewogen haben soll. Hinsichtlich der Verfolgung ist zudem nicht nachvollziehbar, wieso sich die angeblichen Entführer die Mühe gemacht haben sollten, den Beschwerdeführer mehrere Tage zu verfolgen, anstatt ihn sofort nach dem Ausfindigmachen zu entführen. Des Weiteren gab der Beschwerdeführer an der Befragung lediglich an, er sei von Unbekannten entführt und gegen eine Lösegeldzahlung freigelassen worden. Erst an der Anhörung führte er aus, dass er Geldstreitigkeiten mit seinem Bruder gehabt habe und dieser hinter der Entführung stecke. Hinsichtlich der Dauer der Geiselhaft nannte er an der Befragung fünf Tage und an der Anhörung zwei Wochen. Im Schreiben vom 8. Juni 2016 gab er an, die staatlichen Übergriffe auf ihn hätten stark zugenommen, weil er die Schutzgelder nicht mehr habe zahlen können. Zudem führte er aus, sein Sohn sei verschleppt worden. Er habe aber verletzt fliehen können. An der Anhörung sagte er indes, seinem Sohn sei die Flucht gelungen; er sei nicht verschleppt worden. Die Erklärung des Beschwerdeführers, das Schreiben vom 8. Juni 2016 sei ihm nicht bekannt, vermag nicht zu überzeugen. Das Schreiben trägt seine Unterschrift und es ist nicht erklärbar, wieso eine Drittperson ohne seine Kenntnis einen Antrag zur Verfahrensbeschleunigung an die Vorinstanz richten und darin unzutreffende Angaben machen sollte. Insgesamt ist der Vorinstanz beizupflichten, dass die Aussagen des Beschwerdeführers widersprüchlich, unsubstantiiert und teilweise nicht nachvollziehbar sind. Daran vermögen auch die eingereichten Fotos seiner Frau nichts zu ändern, zumal daraus die Ursache der abgebildeten Verletzung nicht ersichtlich ist. Dem Beschwerdeführer ist es somit nicht gelungen, eine asylrelevante Verfolgung im Sinne von Art. 3 AsylG glaubhaft darzutun.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Städten Kabul (BVGE 2011/7 insbes. E. 9.9.2), Mazar-i-Sharif (BVGE 2011/49 E. 7.3.6 und 7.3.7) und Herat (BVGE 2011/38 E. 4.3.1-4.3.3) zu unterscheiden. Der Vollzug der Wegweisung in diese Städte könne unter der Voraussetzung begünstigender Umstände (insbesondere ein tragfähiges Beziehungsnetz, Möglichkeit zur Sicherung des Existenzminimums, gesicherte Wohnsituation, guter Gesundheitszustand) als zumutbar erachtet werden (BVGE 2011/49 E. 7.3.5-7.3.8). Diese Praxis hat nach wie vor Gültigkeit (Urteile des BVGer D-2086/2016 vom 11. Mai 2016, D-5168/2015 vom 16. November 2015, E-5014/2015 vom 28. Oktober 2015). Der Beschwerdeführer stammt ursprünglich aus der Provinz B._______. Nach der Rückkehr aus Grossbritannien hat er sich mit seiner Ehefrau und seinen Kindern in Herat niedergelassen und dort zweieinhalb Jahre im eigenen Haus gewohnt. Zudem leben Geschwister und ein Onkel von ihm in Herat. Er verfügt somit über ein tragfähiges soziales Netz in Herat. Er hat als Teilhaber einer Geldwechselstube gearbeitet und konnte dadurch den Lebensunterhalt seiner Familie bestreiten. Er verfügt über eine Matura und Erfahrungen als Händler. Ihm sollte es bei einer Rückkehr nach Herat folglich möglich sein, sich wieder eine wirtschaftliche Existenz aufzubauen, zumal er auch gesund ist. Der Vollzug der Wegweisung nach Herat ist somit zumutbar.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7.1</w:t>
      </w:r>
    </w:p>
    <w:p>
      <w:r>
        <w:t>Die gestellten Rechtsbegehren erweisen sich als aussichtslos, weshalb die Gesuche um unentgeltliche Rechtspflege und Beiordnung eines Rechtsbeistandes ungeachtet einer allfälligen prozessualen Bedürftigkeit abzuweisen sind (Art. 65 Abs. 1 VwVG und Art. 110a Abs. 1 Bst. a AslG).</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