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E-3416/2015 vom 9. Juni 2015</w:t>
      </w:r>
    </w:p>
    <w:p>
      <w:r>
        <w:t>Bundesverwaltungsgericht, 2015-06-09, DE</w:t>
      </w:r>
    </w:p>
    <w:p>
      <w:r>
        <w:rPr>
          <w:b/>
        </w:rPr>
        <w:t xml:space="preserve">Quelle: </w:t>
      </w:r>
      <w:r>
        <w:t>https://mcp.opencaselaw.ch/entscheid/bvger_E-3416_2015</w:t>
      </w:r>
    </w:p>
    <w:p>
      <w:r>
        <w:t>FR: TAF E-3416/2015 du 9 juin 2015</w:t>
      </w:r>
    </w:p>
    <w:p>
      <w:r>
        <w:t>IT: TAF E-3416/2015 del 9 giugno 2015</w:t>
      </w:r>
    </w:p>
    <w:p>
      <w:pPr>
        <w:pStyle w:val="Heading2"/>
      </w:pPr>
      <w:r>
        <w:t>Regeste</w:t>
      </w:r>
    </w:p>
    <w:p>
      <w:r>
        <w:t>Zuweisung der Asylsuchenden an die Kantone</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kann Verfügungen in Asylverfahren im Allgemeinen nur auf Verletzung von Bundesrecht oder unrichtige und unvollständige Feststellung des rechtserheblichen Sachverhaltes überprüfen (Art. 106 Abs. 1 AsylG). Das Gesetz schränkt die Beurteilungskompetenz des Bundesverwaltungsgerichts nochmals ein, wenn eine Zwischenverfügung betreffend Kantonszuteilung angefochten wird. Einzig den Grundsatz der Einheit der Familie darf es hier im Beschwerdeverfahren prüfen (Art. 27 Abs. 3 letzter Satz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27 Abs. 3 letzter Satz AsylG - welcher als lex specialis der allgemeinen Regel von Art. 106 Abs. 1 AsylG vorgeht (Art. 106 Abs. 2 AsylG) - kann der Zuweisungsentscheid nur mit der Begründung angefochten werden, er verletze den Grundsatz der Einheit der Familie.</w:t>
      </w:r>
    </w:p>
    <w:p>
      <w:r>
        <w:rPr>
          <w:b/>
        </w:rPr>
        <w:t>E. 3.2</w:t>
      </w:r>
    </w:p>
    <w:p>
      <w:r>
        <w:t>Nach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Den Schutz des Familienlebens können grundsätzlich nur die Mitglieder einer Kernfamilie, Ehegatten und ihre minderjährigen Kinder, anrufen.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3.3</w:t>
      </w:r>
    </w:p>
    <w:p>
      <w:r>
        <w:t>Der Beschwerdeführer ersucht in der Eingabe unter Hinweis auf den Grundsatz der Einheit der Familie darum, dem Kanton B._______ zugeteilt zu werden, da sein Bruder dort lebe. Gemäss der vorstehend zitierten Rechtsprechung gehören volljährige Geschwister nicht zur Kernfamilie. Sodann macht der Beschwerdeführer in der Eingabe auch kein besonderes Abhängigkeitsverhältnis zu seinem Bruder geltend. Ein solches ist aus den Akten auch nicht ersichtlich. Der blosse Wunsch, beim oder in der Nähe des Bruders zu wohnen, ist zwar verständlich, stellt aber keinen gesetzlichen Grund für eine bestimmte Kantonszuteilung des Beschwerdeführers dar. Die Zuteilung des Beschwerdeführers in den Kanton C._______ verletzt demnach den Grundsatz der Einheit der Familien nicht.</w:t>
      </w:r>
    </w:p>
    <w:p>
      <w:r>
        <w:rPr>
          <w:b/>
        </w:rPr>
        <w:t>E. 5</w:t>
      </w:r>
    </w:p>
    <w:p>
      <w:r>
        <w:t>Aus diesen Erwägungen ergibt sich, dass die angefochtene Verfügung Bundesrecht nicht verletzt und auch sonst nicht zu beanstanden ist (Art. 106 AsylG). Die Beschwerde ist abzuweisen.</w:t>
      </w:r>
    </w:p>
    <w:p>
      <w:r>
        <w:rPr>
          <w:b/>
        </w:rPr>
        <w:t>E. 6</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