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E-3416/2009 vom 11. April 2012</w:t>
      </w:r>
    </w:p>
    <w:p>
      <w:r>
        <w:t>Bundesverwaltungsgericht, 2012-04-11, DE</w:t>
      </w:r>
    </w:p>
    <w:p>
      <w:r>
        <w:rPr>
          <w:b/>
        </w:rPr>
        <w:t xml:space="preserve">Quelle: </w:t>
      </w:r>
      <w:r>
        <w:t>https://mcp.opencaselaw.ch/entscheid/bvger_E-3416_2009</w:t>
      </w:r>
    </w:p>
    <w:p>
      <w:r>
        <w:t>FR: TAF E-3416/2009 du 11 avril 2012</w:t>
      </w:r>
    </w:p>
    <w:p>
      <w:r>
        <w:t>IT: TAF E-3416/2009 del 11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seiner Verfügung an, die Vorbringen der Beschwerdeführenden würden weder den Anforderungen an die Glaubhaftigkeit noch denjenigen an die Flüchtlingseigenschaft genügen. Der Beschwerdeführer habe insbesondere nicht plausibel dargelegt, wes-halb sein Arbeitgeber ausgerechnet ihn für die Explosion verantwortlich gemacht habe. Seine Erklärung, ihm sei vorgeworfen worden, sich im Büro vor der Explosion versteckt zu haben, sei unsinnig, zumal es unter anderem auch seine Aufgabe als Schichtführer gewesen sei, Büroarbeiten zu erledigen. Zudem sei weder ein Motiv für eine solche Tat ersichtlich noch nachvollziehbar, weshalb die Fabrikbehörde diesen strafrechtlich verfolgen sollte. Aufgrund der geltend gemachten Geschehnisse sei offensichtlich, dass die Verantwortung bei der Firma liege, welche für die Betriebssicherheit und für das Einholen der notwendigen Bewilligungen zuständig sei. Es sei nicht plausibel, dass der Beschwerdeführer aufgrund dieses Vorfalles hätte zur Rechenschaft gezogen werden sollen. Dieser habe denn auch unstimmige Aussagen zu den strafrechtlichen Anschuldigungen gemacht, ein Mal habe er Missbrauch der Arbeitsstelle, ein anderes Mal Sabotage und ein weiteres Mal fahrlässige Tötung angegeben. Des Weiteren sei realitätsfremd, dass er erst zu Hause und nicht schon im Spital verhaftet worden sei. Die Zweifel an der geltend gemachten Untersuchungshaft würden durch den Umstand verstärkt, dass die Beschwerdeführenden keinerlei Beweismittel eingereicht hätten und ihnen nicht geglaubt werden könne, die mongolischen Behörden hätten - insbesondere bezüglich der Vorladung nach der Haftentlassung und der geleisteten Kaution - keine Dokumente abgegeben. Des Weiteren sei festzustellen, dass sie keine Reise- oder Identitätspapiere abgegeben hätten, weshalb weder ihre Identität noch die effektiven Reisedaten noch die tatsächliche Reiseroute belegt seien und ihre Asylvorbringen vorliegend nicht abgeklärt werden könnten. Angesichts der erheblichen Zweifel an der geltend gemachten Untersuchungshaft des Beschwerdeführers seien auch die Vorbringen der Beschwerdeführerin zu den Nachstellungen durch Unbekannte zu bezweifeln. Vor allem sei nicht nachvollziehbar, dass sie erst bei der Anhörung geltend gemacht habe, einmal von einem Unbekannten in einen Keller gezerrt und mit dem Messer bedroht worden zu sein, da davon auszugehen sei, dass solche Ereignisse nicht vergessen und bei erster Gelegenheit geltend machen würden. Zudem habe sie keine Beweismittel zu den angeblichen Nachstellungen eingereicht, obwohl sie beispielsweise ausgesagt habe, einmal sei ein Bild ihres Sohnes an die Haustüre geheftet worden. Unbesehen der fehlenden Glaubhaftigkeit der Vorbringen sei festzustellen, dass diesen auch kein asylrelevantes Verfolgungsmotiv zugrunde liege, weil die geltend gemachten staatlichen Verfolgungsmassnahmen nicht aus einem der in Art. 3 Abs. 1 AsylG genannten Gründe erfolgt seien. Der Beschwerdeführer sei von den Behörden zwecks Abklärung des allenfalls strafrechtlich relevanten Sachverhaltes in Untersuchungshaft genommen worden, welche Massnahme rechtsstaatlich legitim und nicht aus asylrechtlich relevanten Motiven erfolgt sei. Er hätte zudem die Möglichkeit gehabt, einen Rechtsanwalt mit der Wahrung seiner Interessen zu beauftragen. In der Mongolei seien Anwälte und Menschrechtsorganisationen durchaus in der Lage, sich erfolgreich für ihre Mandanten einzusetzen. Die staatlicherseits ins Leben gerufene "National Human Rights Commission of Mongolia" nehme individuelle Klagen entgegen und führe mit Erfolg Prozesse gegen Fehlurteile, Korruption und Fehlverhalten der Behörden. Vor diesem Hintergrund sei nicht nachvollziehbar, dass sich der Beschwerdeführer nach seiner Entlassung aus der Untersuchungshaft nicht mit Hilfe eines Rechtsanwaltes gegen die Anschuldigungen zur Wehr gesetzt habe. Bei den von der Beschwerdeführerin geltend gemachten Nachstellungen handle es sich um Übergriffe Dritter. Ihren Aussagen könne entnommen werden, dass die Polizei auf Anzeige hin Massnahmen erwogen und einen Polizisten zu ihrem Schutz abgestellt habe, was auf die grundsätzliche Schutzbereitschaft der mongolischen Behörden schliessen lasse. Zwar habe die Beschwerdeführerin ausgesagt, sie habe nie etwas von einem Polizisten bemerkt, aber das Bundesamt gehe vom Schutzwillen und von der Schutzfähigkeit des mongolischen Staates aus. Die Mongolei sei als "Safe Country" eingestuft, was unter anderem bedeute, dass in der Regel asylrelevante staatliche Verfolgung nicht stattfinde und Schutz vor nichtstaatlicher Verfolgung gewährleistet sei. Der sinngemässe Hinweis der Beschwerdeführerin, die Behörden würden die Bürger nicht schützen, weil diese nur die Interessen der Mächtigen und des Staates wahrnähmen, treffe nicht zu. So seien beispielsweise im Zusammenhang mit den Unruhen bei den letzten Wahlen, anlässlich derer Demonstranten zu Tode gekommen seien, Polizisten verhaftet worden, um den Sachverhalt abzuklären. Die Beschwerdeführerin habe auch die Möglichkeit gehabt, mit Hilfe eines Anwaltes bei den Behörden vorstellig zu werden. Festzuhalten sei indessen auch, dass ein vollumfänglicher Schutz der Bürger durch den Staat nicht möglich sei. Die Folge der Ablehnung eines Asylgesuchs sei in der Regel die Wegweisung aus der Schweiz und der Vollzug sei vorliegend zulässig, zumutbar und möglich.</w:t>
      </w:r>
    </w:p>
    <w:p>
      <w:r>
        <w:rPr>
          <w:b/>
        </w:rPr>
        <w:t>E. 3.2</w:t>
      </w:r>
    </w:p>
    <w:p>
      <w:r>
        <w:t>Aus der Rechtsmitteleingabe ergibt sich als Rüge, die Vorinstanz habe die Vorbringen zu Unrecht als nicht glaubhaft respektive nicht flüchtlingsrelevant bezeichnet und damit Bundesrecht verletzt. Die Ausführungen in der Beschwerde erweisen sich jedoch als zu wenig substanziiert und überzeugend, um die Schlussfolgerungen des BFM umzustossen. Insbesondere ist vorab mit der Vorinstanz festzustellen, dass die Identität der Beschwerdeführenden nach wie vor nicht belegt ist, da sie keine für deren Nachweis tauglichen Reise- oder Identitätspapiere eingereicht oder wenigstens ihre erfolglos gebliebenen Bemühungen für deren Beschaffung dokumentiert haben. Des Weiteren erweist sich die Entgegnung in der Beschwerde, es sei durchaus plausibel, dass die Firmenleitung dem Beschwerdeführer vorgeworfen habe, die Explosion absichtlich herbeigeführt zu haben, um sich auf diese Weise bei den Behörden reinzuwaschen, angesichts der auch aus der Sicht der Untersuchungsbehörden offensichtlichen Haltlosigkeit eines solchen Vorwurfs als wenig stichhaltig. Zur Vermeidung von Wiederholungen kann an dieser Stelle vollumfänglich auf die diesbezüglichen Ausführungen in der angefochtenen Verfügung verwiesen werden. Das Vorbringen, die Beschwerdeführenden hätten in dieser Hinsicht übereinstimmende Aussagen gemacht, vermag nicht zu überzeugen, weil die Beschwerdeführerin beim Unfall nicht zugegen war, sondern lediglich das wiederholte, was ihr der Beschwerdeführer über die Geschehnisse erzählte. Auch die Behauptung, der Beschwerdeführer habe keine schwankenden Angaben zu den strafrechtlichen Anschuldigungen gemacht, erweist sich bei näherem Hinsehen als nicht begründet, da er in der Tat jeweils unterschiedliche Angaben gemacht hat (vgl. Akten BFM A9/16 S. 6, 10 und 12). Hinzu kommt, dass sich das weitere Vorbringen in der Rechtsmitteleingabe, es treffe nicht zu, dass der Beschwerdeführer ausgesagt habe, er sei erst nach der Spitalentlassung zu Hause verhaftet worden, angesichts seiner unmissverständlichen Aussage (vgl. A9/16 S. 4 F26) als klar aktenwidrig erweist. Als wenig überzeugend erweist sich sodann die Behauptung, die Behörden hätten den Beschwerdeführenden keine Dokumente ausgehändigt, da es auch den Erkenntnissen des Gerichts entspricht, dass mongolische Gesuchsteller respektive Beschwerdeführer in der Lage sind, im Asylverfahren behördliche Dokumente wie beispielsweise polizeiliche Vorladungen abzugeben. Der weitere Einwand, die Beschwerdeführerin habe ausser der Bedrohung im Keller sämtliche anderen Vorbringen auch bei der Kurzbefragung erwähnt, ausserdem komme dieser nur ein beschränkter Beweiswert zu, diene sie doch in erster Linie dazu, eine erste Triage vorzunehmen und zu prüfen, ob überhaupt ein Asylgesuch vorliege, erweist sich ebenfalls als nicht stichhaltig. Eine Durchsicht des Protokolls ergibt, dass diese nach ihrem freien Bericht zu den Asylgründen die Frage, ob es noch andere Gründe gebe, die zu ihrer Ausreise aus der Mongolei geführt hätten, ausdrücklich verneinte (vgl. A2/9 S. 5). Sie hätte somit ohne weiteres die Möglichkeit gehabt, dieses für sie einschneidende Erlebnis bereits bei der Kurzbefragung im EVZ vorzubringen. Da es sich bei der erst anlässlich der Anhörung geltend gemachten Aussage um ein zentrales Vorbringen und nicht bloss um eine Konkretisierung von schon bei der Kurzbefragung geltend gemachten Ereignissen handelt, muss diese als nachgeschoben und somit als unglaubhaft qualifiziert werden. Unbesehen der fehlenden Glaubhaftigkeit der Vorbringen ist mit der Vorinstanz festzustellen, dass diese als asylrechtlich nicht relevant zu erachten sind, da grundsätzlich vom Schutzwillen und der Schutzfähigkeit der mongolischen Sicherheitsbehörden auszugehen ist und es sich bei den von den Beschwerdeführenden geltend gemachten Vorkommnissen um kriminelle Machenschaften Dritter ohne politischen Hintergrund handelt. Mangels substanziierter Entgegnungen in der Beschwerde kann diesbezüglich zur Vermeidung von Wiederholungen auf die zutreffenden Erwägungen in der angefochtenen Verfügung verwiesen werden.</w:t>
      </w:r>
    </w:p>
    <w:p>
      <w:r>
        <w:rPr>
          <w:b/>
        </w:rPr>
        <w:t>E. 3.3</w:t>
      </w:r>
    </w:p>
    <w:p>
      <w:r>
        <w:t>Zusammenfassend ergibt sich, dass die Vorbringen der Beschwerdeführenden weder den Anforderungen an die Glaubhaftigkeit noch denjenigen an die Flüchtlingseigenschaft standzuhalten vermögen. Es erübrigt sich angesichts der vorstehenden Erwägungen, auf die weiteren Ausführungen auf Beschwerdeebene sowie auf die zur Stützung der Vorbringen zitierten Berichte und die eingereichten Dokumente (...) einzugehen, da diese nicht geeignet sind, eine andere Beurteilung herbeizuführen. Das BFM hat die Asylgesuche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und ihre Kinder verfügen weder über eine ausländerrechtliche Aufenthaltsbewilligung noch über einen Anspruch auf Erteilung einer solchen. Die Wegweisung wurde demnach zu Recht angeordnet (vgl. BVGE 2009/50 E. 9 S. 733, mit Hinweisen auf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und ihrer Kinder in den Heimatstaat ist demnach unter dem Aspekt von Art. 5 AsylG rechtmässig. Sodann ergeben sich weder aus den Aussagen der Beschwerdeführen-den noch aus den Akten Anhaltspunkte dafür, dass sie und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5.5.1</w:t>
      </w:r>
    </w:p>
    <w:p>
      <w:r>
        <w:t>Gemäss Rechtsprechung des Gerichts kann allein aufgrund der allgemeinen Situation in der Mongolei nicht auf Unzumutbarkeit des Weg-weisungsvollzugs geschlossen werden.</w:t>
      </w:r>
    </w:p>
    <w:p>
      <w:r>
        <w:rPr>
          <w:b/>
        </w:rPr>
        <w:t>E. 5.5.2</w:t>
      </w:r>
    </w:p>
    <w:p>
      <w:r>
        <w:t>Vorliegend ergeben sich aus den Akten auch keine individuellen Gründe, die eine Rückkehr der Beschwerdeführenden und ihrer Kinder in die Mongolei als unzumutbar erscheinen lassen. Sie verfügen beide über eine abgeschlossene Berufslehre (...) und waren vor ihrer Ausreise aus der Mongolei berufstätig (vgl. A1/8 S. 2 und A2/9 S. 2). Zudem werden sie nach ihrer Rückkehr in die Mongolei nicht auf sich allein gestellt sein, sondern können beim Aufbau einer neuen Existenz auf die Hilfe ihrer dort wohnhaften Verwandten (vgl. A1/8 S. 2 und A2/9 S. 2), insbesondere auf (...), die sich bis letztes Jahr um deren (...) gekümmert haben, zählen. Die Rückkehrhilfe der Schweiz wird ihnen den Wiedereinstieg in der Mongolei ebenfalls erleichtern (Art. 62 der Asylverordnung 2 vom 11. August 1999 über Finanzierungsfragen [AsylV 2, SR 142.312]). Des Weiteren ist darauf hinzuweisen, dass blosse soziale und wirtschaftliche Schwierigkeiten, von denen die ansässige Bevölkerung im Allgemeinen betroffen ist, nicht genügen, um eine Gefährdung im Sinne von Art. 83 Abs. 4 AuG darzustellen (vgl. BVGE 2008/34 E. 11.2.2). Gemäss Rechtsprechung der vormals zuständigen Schweizerischen Asylrekurskommission (ARK), welche vom Bundesverwaltungsgericht diesbezüglich weitergeführt wird, bildet im Rahmen der Zumutbarkeitsprüfung das Kindeswohl einen Gesichtspunkt von gewichtiger Bedeutung (Entscheidungen und Mitteilungen der Schweizerischen Asylrekurskommission [EMARK] 1998 Nr. 13 E. 5e.aa S. 98 f.). Vorliegend ist aufgrund der vorstehenden Erwägungen zur Situation der Beschwerdeführenden festzustellen, dass sowohl das Kindeswohl des sich erst seit Juli 2011 in der Schweiz befindlichen bald (...)jährigen Sohnes als auch dasjenige seine(...) am (...) in der Schweiz geborenen (...) in der Mongolei, dem angestammten Kulturkreis ihrer Eltern, sichergestellt erscheint. Des Weiteren ergeben sich aus den Ausführungen in der Eingabe vom 29. November 2010 zu den persönlichen Verhältnissen keine Anhaltspunkte dafür, die geltend gemachten gesundheitlichen Probleme des Beschwerdeführers (...) könnten nicht auch in der Mongolei behandelt werden. Die Beschwerdeführenden haben es zudem trotz der ihnen obliegenden Mitwirkungspflicht unterlassen, einen diesbezüglichen ärztlichen Bericht einzureichen, weshalb anzunehmen ist, der Beschwerdeführer habe mittlerweile keine ins Gewicht fallenden gesundheitlichen Probleme mehr.</w:t>
      </w:r>
    </w:p>
    <w:p>
      <w:r>
        <w:rPr>
          <w:b/>
        </w:rPr>
        <w:t>E. 5.5.3</w:t>
      </w:r>
    </w:p>
    <w:p>
      <w:r>
        <w:t>Nach dem Gesagten ist insgesamt nicht davon auszugehen, die Beschwerdeführenden und ihre Kinder gerieten in der Mongolei in eine existenzbedrohende Situation, weshalb der Vollzug der Wegweisung als zumutbar zu erachten ist.</w:t>
      </w:r>
    </w:p>
    <w:p>
      <w:r>
        <w:rPr>
          <w:b/>
        </w:rPr>
        <w:t>E. 5.6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5.7</w:t>
      </w:r>
    </w:p>
    <w:p>
      <w:r>
        <w:t>Zusammenfassend hat die Vorinstanz den Wegweisungsvollzug zu Recht als zulässig, zumutbar und möglich erachtet. Somit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Aufgrund der Akten ergibt sich indessen, dass nach wie vor von der prozessualen Bedürftigkeit der Beschwerdeführenden auszugehen ist, weshalb die am 11. Juni 2009 verfügte Gutheissung des Gesuchs um Gewährung der unentgeltlichen Rechtspflege zu bestätigen ist und die Beschwerdeführenden von der Be-zahlung der Verfahrenskosten zu befreien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