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E-3412/2021 vom 6. Juli 2021</w:t>
      </w:r>
    </w:p>
    <w:p>
      <w:r>
        <w:t>Bundesverwaltungsgericht, 2021-07-06, DE</w:t>
      </w:r>
    </w:p>
    <w:p>
      <w:r>
        <w:rPr>
          <w:b/>
        </w:rPr>
        <w:t xml:space="preserve">Quelle: </w:t>
      </w:r>
      <w:r>
        <w:t>https://mcp.opencaselaw.ch/entscheid/bvger_E-3412_2021_d20210706</w:t>
      </w:r>
    </w:p>
    <w:p>
      <w:r>
        <w:t>FR: TAF E-3412/2021 du 6 juillet 2021</w:t>
      </w:r>
    </w:p>
    <w:p>
      <w:r>
        <w:t>IT: TAF E-3412/2021 del 6 luglio 2021</w:t>
      </w:r>
    </w:p>
    <w:p>
      <w:pPr>
        <w:pStyle w:val="Heading2"/>
      </w:pPr>
      <w:r>
        <w:t>Regeste</w:t>
      </w:r>
    </w:p>
    <w:p>
      <w:r>
        <w:t>Asyl (ohne Wegweisungsvollzug) | Asyl (ohne Wegweisungsvollzug); Verfügung des SEM vom 6. Juli 2021</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t>E-3412/2021 Seite 6</w:t>
      </w:r>
    </w:p>
    <w:p>
      <w:r>
        <w:rPr>
          <w:b/>
        </w:rPr>
        <w:t>E. 1.3</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Rechtsmittel, das durch die Ent- wicklungen im Heimatstaat des Beschwerdeführers insofern begründet ge- worden ist, als sich eine Rückweisung der Sache an die Vorinstanz auf- drängt. Das Urteil ist nur summarisch zu begründen (Art. 111a Abs.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Im März 2011 brach in Syrien nach regimekritischen Demonstrationen und zunehmend gewaltsamer Repression seitens der staatlichen syrischen Sicherheitskräfte ein Konflikt aus, der schliesslich in einen offenen Bürgerkrieg mündete. Die damit in Zusammenhang stehende menschen- rechtliche und politische Situation blieb seither anhaltend sehr schwierig und volatil (vgl. aus der publizierten Rechtsprechung des Bun- desverwaltungsgerichts BVGE 2015/3 E. 6.2, Referenzurteil D-5779/2013 vom 25. Februar 2015 E. 5.3 und 5.7.2, BVGE 2020 VI/4 E. 5.3). Am 8. Dezember 2024 kam es in Syrien zum Sturz des bisherigen staatlichen</w:t>
      </w:r>
    </w:p>
    <w:p>
      <w:r>
        <w:t>E-3412/2021 Seite 7 Regimes des damaligen Präsidenten Bashar al-Asad, wodurch die mehr als fünfzigjährige Herrschaft der Asad-Familie endete. Seither hat sich un- ter dem Vorsitz von Ahmed al-Sharaa, dem Anführer des Hay'at Tahrir al- Sham (HTS; «Komitee zur Befreiung der Levante»), der wichtigsten Grup- pierung innerhalb der für den Umsturz verantwortlichen Koalition bewaff- neter Oppositionsgruppen, eine Übergangsregierung gebildet. Am 13. März 2025 wurde eine sogenannte "Verfassungserklärung" verab- schiedet, die als rechtliche Grundlage für die politische Übergangsphase dienen soll. Die Verfassungserklärung und die konkreten Modalitäten der staatlichen Reformen bleiben umstritten, wobei insbesondere die wichtigs- ten syrisch-kurdischen Akteure, darunter namentlich die hinter der Autono- men Administration Nord- und Ostsyrien (englisch "Democratic Auto- nomous Administration of North and East Syria" [DAANES]) stehenden po- litischen Kräfte, eine ablehnende Haltung vertreten. Die Frage, wie sich die Situation in Syrien weiter entwickeln wird, ist zum heutigen Zeitpunkt offen. Dies betrifft eine weite Bandbreite von Aspekten wie die territoriale Kon- trolle, die Durchsetzung des staatlichen Gewaltmonopols, die allgemeine Sicherheit sowie die ökonomische und humanitäre Lage (vgl. zum Ganzen European Union Agency for Asylum, Syria: Country Focus, Country of Ori- gin Information Report, März 2025, S. 19 ff.; International Crisis Group, What lies in store for Syria as a new government takes power?, 25. April 2025; Ministerie van Buitenlandse Zaken [Niederländisches Ministerium für auswärtige Angelegenheiten], Algemeen ambtsbericht Syrië, Mai 2025, S.</w:t>
      </w:r>
    </w:p>
    <w:p>
      <w:r>
        <w:rPr>
          <w:b/>
        </w:rPr>
        <w:t>E. 5.2</w:t>
      </w:r>
    </w:p>
    <w:p>
      <w:r>
        <w:t>Bei der Prüfung der Flüchtlingseigenschaft interessiert zunächst die im Zeitpunkt der Ausreise der asylsuchenden Person bestehende Verfol- gungssituation. Nach Lehre und Praxis wird für den Asylentscheid jedoch auf die Gefährdungslage im Moment des Asylentscheides abgestellt. Dies wird praktisch bedeutsam, wenn sich die Lage im Heimatstaat zwischen Ausreise und Asylentscheid massgeblich zugunsten oder zulasten der asylsuchenden Person verändert hat (vgl. BVGE 2011/51 E. 6.1 m.w.H.).</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sofern</w:t>
      </w:r>
    </w:p>
    <w:p>
      <w:r>
        <w:t>E-3412/2021 Seite 8 dies im Einzelfall aus prozessökonomischen Gründen angebracht er- scheint (vgl. BVGE 2012/21 E. 5).</w:t>
      </w:r>
    </w:p>
    <w:p>
      <w:r>
        <w:rPr>
          <w:b/>
        </w:rPr>
        <w:t>E. 5.4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5.5</w:t>
      </w:r>
    </w:p>
    <w:p>
      <w:r>
        <w:t>Nach dem Gesagten ist die Beschwerde gutzuheissen, die Ziffern 1-3 des Dispositivs der angefochtenen Verfügung sind aufzuheben und die Sa- che ist zur Neubeurteilung an die Vorinstanz zurückzuweisen. Das SEM ist anzuweisen, die erforderlichen Massnahmen durchzuführen und gestützt auf die entsprechenden Erkenntnisse das Asylgesuch des Beschwerdefüh- rers erneut zu beurteilen und darüber zu entscheiden. Dabei werden die Akten des vorliegenden Beschwerdeverfahrens, inklusive der Anträge und Beweismittel integraler Bestandteil des Verfahrens. 6. 6.1 Bei diesem Ausgang des Verfahrens sind keine Kosten zu erheben (Art. 63 Abs. 1 und 2 VwVG). 6.2 Gemäss Art. 64 Abs. 1 VwVG i.V.m. Art. 37 VGG kann die Beschwer- deinstanz der ganz oder teilweise obsiegenden Partei von Amtes wegen oder auf Begehren eine Entschädigung für die ihr erwachsenen notwendi- gen und verhältnismässig hohen Kosten zusprechen (vgl. für die Grunds- ätze der Bemessung der Parteientschädigung ausserdem Art. 7 ff. des</w:t>
      </w:r>
    </w:p>
    <w:p>
      <w:r>
        <w:t>E-3412/2021 Seite 9 Reglements über die Kosten und Entschädigungen vor dem Bundesver- waltungsgericht vom 21. Februar 2008 [VGKE, SR 173.320.2]).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Parteientschädigung von pauschal Fr. 2’000.– zuzusprechen.</w:t>
      </w:r>
    </w:p>
    <w:p>
      <w:r>
        <w:t>(Dispositiv nächste Seite)</w:t>
      </w:r>
    </w:p>
    <w:p>
      <w:r>
        <w:t>E-3412/2021 Seite 10</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2'000.- zuzusprechen. (Dispositiv nächste Seite)</w:t>
      </w:r>
    </w:p>
    <w:p>
      <w:r>
        <w:rPr>
          <w:b/>
        </w:rPr>
        <w:t>E. 8</w:t>
      </w:r>
    </w:p>
    <w:p>
      <w:r>
        <w:t>Dezember 2024 vorzunehmen. Sondern es wird auch zu prüfen sein,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Insbesondere bleibt auf diese Weise auch der Instanzenzug er- halten, was umso wesentlicher ist, als das Bundesverwaltungsgericht im Anwendungsbereich des AsylG als einzige gerichtliche Behörde und mithin letztinstanzlich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