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E-3412/2012 vom 28. November 2013</w:t>
      </w:r>
    </w:p>
    <w:p>
      <w:r>
        <w:t>Bundesverwaltungsgericht, 2013-11-28, DE</w:t>
      </w:r>
    </w:p>
    <w:p>
      <w:r>
        <w:rPr>
          <w:b/>
        </w:rPr>
        <w:t xml:space="preserve">Quelle: </w:t>
      </w:r>
      <w:r>
        <w:t>https://mcp.opencaselaw.ch/entscheid/bvger_E-3412_2012</w:t>
      </w:r>
    </w:p>
    <w:p>
      <w:r>
        <w:t>FR: TAF E-3412/2012 du 28 novembre 2013</w:t>
      </w:r>
    </w:p>
    <w:p>
      <w:r>
        <w:t>IT: TAF E-3412/2012 del 28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einzutreten.</w:t>
      </w:r>
    </w:p>
    <w:p>
      <w:r>
        <w:rPr>
          <w:b/>
        </w:rPr>
        <w:t>E. 2.1</w:t>
      </w:r>
    </w:p>
    <w:p>
      <w:r>
        <w:t>Das Bundesverwaltungsgericht überprüft die angefochtene Verfügung auf Verletzung von Bundesrecht, unrichtige und unvollständige Feststellung des rechtserheblichen Sachverhalts und Unangemessenheit (Art. 106 Abs. 1 AsylG).</w:t>
      </w:r>
    </w:p>
    <w:p>
      <w:r>
        <w:rPr>
          <w:b/>
        </w:rPr>
        <w:t>E. 2.2</w:t>
      </w:r>
    </w:p>
    <w:p>
      <w:r>
        <w:t>Die Beschwerdeinstanz ist nicht an die Beschwerdebegründung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21. Mai 2012 zugrunde liegt, nicht vollständig festgestellt ist. Es besteht kein Zweifel, dass sich eine neue Lagebeurteilung vor Ort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E-1854/2012 vom 7. November 2012, E. 3.2).</w:t>
      </w:r>
    </w:p>
    <w:p>
      <w:r>
        <w:rPr>
          <w:b/>
        </w:rPr>
        <w:t>E. 3.3</w:t>
      </w:r>
    </w:p>
    <w:p>
      <w:r>
        <w:t>Demnach ist die angefochtene Verfügung aufzuheben und die Sache zur vollständigen Sachverhaltsfeststellung und zu neuer Entscheidung an die Vorinstanz zurückzuweisen. Allein die Tatsache, dass die Ergebnisse der vorinstanzlichen Abklärungen abzuwarten sind, rechtfertigt die Aufhebung der angefochtenen Verfügung. Die Beschwerde ist somit - ungeachtet der Parteivorbringen - gutzuheissen.</w:t>
      </w:r>
    </w:p>
    <w:p>
      <w:r>
        <w:rPr>
          <w:b/>
        </w:rPr>
        <w:t>E. 4</w:t>
      </w:r>
    </w:p>
    <w:p>
      <w:r>
        <w:t>Bei diesem Ausgang des Verfahrens sind keine Kosten zu erheben (Art. 63 VwVG).</w:t>
      </w:r>
    </w:p>
    <w:p>
      <w:r>
        <w:rPr>
          <w:b/>
        </w:rPr>
        <w:t>E. 5</w:t>
      </w:r>
    </w:p>
    <w:p>
      <w:r>
        <w:t>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Das Bundesverwaltungsgericht erachtet den in der Kostennote vom 10. Juli 2012 ausgewiesenen zeitlichen Vertretungsaufwand - unter Berücksichtigung des nach Einreichen der Kostennote entstandenen Aufwandes - als unangemessen, weshalb er zu reduzieren ist. Namentlich ist zu berücksichtigen, dass etliche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in identischer Weise eingereicht worden. Zudem weist der Inhalt der Eingabe teilweise redundante Ausführungen auf. In Anwendung der gesetzlichen Bemessungsfaktoren und angesichts der besonderen Umstände erscheint eine Parteientschädigung von Fr. 1'600.- angemessen.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