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E-340/2019 vom 25. April 2019</w:t>
      </w:r>
    </w:p>
    <w:p>
      <w:r>
        <w:t>Bundesverwaltungsgericht, 2019-04-25, FR</w:t>
      </w:r>
    </w:p>
    <w:p>
      <w:r>
        <w:rPr>
          <w:b/>
        </w:rPr>
        <w:t xml:space="preserve">Quelle: </w:t>
      </w:r>
      <w:r>
        <w:t>https://mcp.opencaselaw.ch/entscheid/bvger_E-340_2019</w:t>
      </w:r>
    </w:p>
    <w:p>
      <w:r>
        <w:t>FR: TAF E-340/2019 du 25 avril 2019</w:t>
      </w:r>
    </w:p>
    <w:p>
      <w:r>
        <w:t>IT: TAF E-340/2019 del 25 aprile 2019</w:t>
      </w:r>
    </w:p>
    <w:p>
      <w:pPr>
        <w:pStyle w:val="Heading2"/>
      </w:pPr>
      <w:r>
        <w:t>Regeste</w:t>
      </w:r>
    </w:p>
    <w:p>
      <w:r>
        <w:t>Exécution du renvoi (délai de recours raccourci)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La présente procédure est soumise à l'ancien droit (Dispositions transitoires de la modification du 25 septembre 2015 de la loi sur l'asile, al. 1).</w:t>
      </w:r>
    </w:p>
    <w:p>
      <w:r>
        <w:rPr>
          <w:b/>
        </w:rPr>
        <w:t>E. 1.4</w:t>
      </w:r>
    </w:p>
    <w:p>
      <w:r>
        <w:t>Le 1er janvier 2019, la loi fédérale sur les étrangers du 16 décembre 2005 (LEtr, RS 142.20) a été partiellement révisée (RO 2018 3171) et renommée loi fédérale sur les étrangers et l'intégration (LEI). L'art. 83 al. 1 à 4 LEI, applicable en l'espèce, est resté inchangé, de sorte que le Tribunal se référera ci-après à cette nouvelle dénomination.</w:t>
      </w:r>
    </w:p>
    <w:p>
      <w:r>
        <w:rPr>
          <w:b/>
        </w:rPr>
        <w:t>E. 1.5</w:t>
      </w:r>
    </w:p>
    <w:p>
      <w:r>
        <w:t>Les recourants ont qualité pour recourir. Présenté dans la forme et le délai prescrits par la loi, le recours est recevable (art. 48 al. 1 et 52 al. 1 PA et art. 108 al. 2 aLAsi).</w:t>
      </w:r>
    </w:p>
    <w:p>
      <w:r>
        <w:rPr>
          <w:b/>
        </w:rPr>
        <w:t>E. 2</w:t>
      </w:r>
    </w:p>
    <w:p>
      <w:r>
        <w:t>Les recourants n'ont pas contesté la décision du SEM en tant qu'elle refuse d'entrer en matière sur leur demande d'asile et prononce leur renvoi de Suisse, de sorte que, sur ces points, celle-ci a acquis force de chose décidée. L'objet du litige est donc circonscrit à la question de l'exécution du renvoi des intéressés vers la Géorgie.</w:t>
      </w:r>
    </w:p>
    <w:p>
      <w:r>
        <w:rPr>
          <w:b/>
        </w:rPr>
        <w:t>E. 3.1</w:t>
      </w:r>
    </w:p>
    <w:p>
      <w:r>
        <w:t>L'exécution du renvoi est ordonnée si elle est licite, raisonnablement exigible et possible. Si ces conditions ne sont pas réunies, l'admission provisoire doit être prononcée. Celle-ci est réglée par l'art. 84 LEI.</w:t>
      </w:r>
    </w:p>
    <w:p>
      <w:r>
        <w:rPr>
          <w:b/>
        </w:rPr>
        <w:t>E. 3.2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3.3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3.4</w:t>
      </w:r>
    </w:p>
    <w:p>
      <w:r>
        <w:t>L'exécution n'est pas possible lorsque l'étranger ne peut pas quitter la Suisse pour son Etat d'origine, son Etat de provenance ou un Etat tiers, ni être renvoyé dans un de ces Etats (art. 83 al. 2 LEI).</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4.2</w:t>
      </w:r>
    </w:p>
    <w:p>
      <w:r>
        <w:t>Dans la mesure où les recourants n'ont pas remis en cause la non-entrée en matière sur leur demande d'asile, le principe de non-refoulement ancré à l'art. 5 LAsi ne s'applique pas.</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4.5</w:t>
      </w:r>
    </w:p>
    <w:p>
      <w:r>
        <w:t>S'agissant des problèmes médicaux, 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aussi ATAF 2011/9 consid. 7.1).</w:t>
      </w:r>
    </w:p>
    <w:p>
      <w:r>
        <w:rPr>
          <w:b/>
        </w:rPr>
        <w:t>E. 4.6</w:t>
      </w:r>
    </w:p>
    <w:p>
      <w:r>
        <w:t>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(arrêt de la CourEDH Paposhvili c. Belgique du 13 décembre 2016, requête n° 41738/10, par. 183).</w:t>
      </w:r>
    </w:p>
    <w:p>
      <w:r>
        <w:rPr>
          <w:b/>
        </w:rPr>
        <w:t>E. 4.7</w:t>
      </w:r>
    </w:p>
    <w:p>
      <w:r>
        <w:t>Comme on le verra ci-dessous (consid. 5), les recourants ne se trouvent pas dans un cas très exceptionnel pouvant soulever un problème au regard de l'art. 3 CEDH. Ils ne sont pas dans une situation de décès imminent, ni atteints d'une maladie qui serait mortelle, sans traitement, ou d'une maladie conduisant nécessairement, sans traitement, à un déclin grave, rapide et irréversible de leur état de santé, d'autant plus que les traitements nécessaires sont disponibles en Géorgie.</w:t>
      </w:r>
    </w:p>
    <w:p>
      <w:r>
        <w:rPr>
          <w:b/>
        </w:rPr>
        <w:t>E. 4.8</w:t>
      </w:r>
    </w:p>
    <w:p>
      <w:r>
        <w:t>Dès lors, l'exécution du renvoi des recourants sous forme de refoulement ne transgresse aucun engagement de la Suisse relevant du droit international, de sorte qu'elle s'avère licite (art. 44 LAsi et art. 83 al. 3 LEI).</w:t>
      </w:r>
    </w:p>
    <w:p>
      <w:r>
        <w:rPr>
          <w:b/>
        </w:rPr>
        <w:t>E. 5.1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ATAF 2011/50 consid. 8.1 8.3 et jurisp. cit.). En revanche, les difficultés socio-économiques qui sont le lot habituel de la population locale, en particulier en matière de pénurie de logements et d'emplois, ne suffisent pas en soi à réaliser une telle mise en danger (notamment ATAF 2010/41 consid. 8.3.6). La jurisprudence citée par les intéressés dans leur recours (arrêt du TAF E-6462/2013 du 13 mars 2014) n'est plus d'actualité. Dans l'ATAF 2014/26, le Tribunal a considéré que la notion de danger concret telle qu'elle figure à l'art. 83 al. 4 LEI n'est pas une disposition potestative, qu'elle ne confère pas à l'autorité une liberté d'appréciation ("Ermessen"), et que, dans l'appréciation de l'inexigibilité de l'exécution du renvoi, dite autorité dispose d'une marge d'appréciation ("Spielraum") réduite au point qu'elle ne peut plus procéder à une pesée des intérêts dans le cas concret (ATAF 2014/26 consid. 7.9 et 7.10).</w:t>
      </w:r>
    </w:p>
    <w:p>
      <w:r>
        <w:rPr>
          <w:b/>
        </w:rPr>
        <w:t>E. 5.2</w:t>
      </w:r>
    </w:p>
    <w:p>
      <w:r>
        <w:t>La Géorgie, même si les régions d'Abkhazie et d'Ossétie du Sud connaissent encore des situations tendues, ne se trouve pas en proie à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5.3</w:t>
      </w:r>
    </w:p>
    <w:p>
      <w:r>
        <w:t>S'agissant des problèmes médicaux des recourants, le Tribunal rappelle que, selon une jurisprudence constante, l'exécution du renvoi des personnes en traitement médical en Suisse ne devient inexigible, en cas de retour dans leur pays d'origine ou de provenance, que dans la mesure où, à leur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(JICRA 2003 no 24 consid. 5b ; ATAF 2011/50 consid. 8.3).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2011/50 et 2009/2 précités; JICRA 2003 n° 24 consid. 5b).</w:t>
      </w:r>
    </w:p>
    <w:p>
      <w:r>
        <w:rPr>
          <w:b/>
        </w:rPr>
        <w:t>E. 5.4</w:t>
      </w:r>
    </w:p>
    <w:p>
      <w:r>
        <w:t>A titre liminaire, il sied de rappeler que le système de santé géorgien a connu d'importantes restructurations ces dernières années et de grands progrès ont été réalisés, de sorte que le traitement de la plupart des troubles somatiques et psychiques y est désormais possible.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En outre, la majeure partie des médicaments courants sont disponibles, notamment dans des réseaux de pharmacies (arrêt du TAF D-2325/2015 du 20 avril 2016, consid. 6.3-6.5 et les références citées).</w:t>
      </w:r>
    </w:p>
    <w:p>
      <w:r>
        <w:rPr>
          <w:b/>
        </w:rPr>
        <w:t>E. 5.5</w:t>
      </w:r>
    </w:p>
    <w:p>
      <w:r>
        <w:t>En l'espèce, la recourante a affirmé avoir des piques au coeur. Elle a toutefois déclaré qu'il ne s'agissait de « rien de grave » (PV d'audition de B._______ du 17 décembre 2018 [A15/12, p. 9, 8.02]). Ses troubles de santé ne sont pas documentés et il ne ressort pas du dossier qu'elle suive un traitement en Suisse. Ainsi, rien n'indique que son état de santé soit critique et que l'exécution de son renvoi soit inexigible.</w:t>
      </w:r>
    </w:p>
    <w:p>
      <w:r>
        <w:rPr>
          <w:b/>
        </w:rPr>
        <w:t>E. 5.6</w:t>
      </w:r>
    </w:p>
    <w:p>
      <w:r>
        <w:t>Il ressort notamment du rapport établi, le (...) 2019 par la Dre E._______, cheffe de clinique adjointe à l'Hôpital de D._______, que le recourant souffre d'une hypertension artérielle, d'une insuffisance rénale chronique de stade G2A3 sur probable glomérulonéphrite extra-membraneuse, d'une Dyslipidémie, d'une anémie en fer et en vitamine B12, d'un déficit en vitamine D, d'hémorroïdes et d'un hémisyndrome moteur brachio-crural gauche suite à un accident vasculaire cérébral (AVC) ischémique en 2012. Il suit actuellement un traitement médicamenteux composé de « Lisinopril », « Torem », « Metoprolol », « Amlodipine » (pour le traitement de l'hypertension artérielle), « Atorvastatine » (pour l'hypercholestérolémie), « Pantozol » (pour la maladie de reflux gastro-oesophagien), « Sertraline » (pour le traitement des symptômes de dépression), « Maltofer », bicarbonate de sodium (pour l'insuffisance rénale chronique), « Aspirine Cardio » (afin de réduire le risque de souffrir d'un nouvel AVC) et « ViDe 3 » (pour le déficit en vitamine D). Les affections précitées nécessitent un suivi néphrologique, l'introduction d'un traitement immunosuppresseur, une physiothérapie de reconditionnement ainsi que la poursuite du traitement antihypertenseur et de la substitution vitaminique. Le pronostic, avec ce traitement, est favorable.</w:t>
      </w:r>
    </w:p>
    <w:p>
      <w:r>
        <w:rPr>
          <w:b/>
        </w:rPr>
        <w:t>E. 5.6.1</w:t>
      </w:r>
    </w:p>
    <w:p>
      <w:r>
        <w:t>Ledit rapport médical indique en particulier que l'insuffisance rénale dont souffre l'intéressé est stable, un traitement par immunosuppresseurs s'avérant toutefois nécessaire pour garantir cette stabilité. Les immunosuppresseurs généralement prescrits dans le cadre du traitement d'une insuffisance rénale, à savoir la cyclophosphane, la cyclosporine et la cortisone, sont disponibles sur le marché géorgien (Internisten im Netz, Behandlung der chronischen Nierenschwäche, 18.08.2017, https://www.internisten-im-netz.de/krankheiten/nierenschwaeche-chronisch/behandlung-der-chronischen-nierenschwaeche.html, consulté le 04.04.2019). La cyclosporine y est commercialisée sous le nom de « Sandimmun® » (Arzneimittel-Kompendium der Schweiz, Sandimmun, 01.08.2018, https://compendium.ch/mpro/mnr/4681/html/de, consulté le 04.04.2019). Le prix du paquet de 50 tablettes à 25 mg se monte à environ 35 lari, soit 13 francs (Aversi, Sandimmun, non daté, https://www.aversi.ge /en/aversi/act/drugDet/?MatID=9857, consulté le 04.04.2019). Le générique « Cyclophosphan (0.2 g fl) » est disponible dans plusieurs grandes villes en Géorgie, dont à Gori, au prix de 1.75 lari, soit 0.64 francs (Aversi, Cyclophosphan 0.2g fl, non daté, https://www.aversi.ge/en/aversi/act/ drugDet/?MatID=1132, consulté le 04.04.2019). Le corticoïde « Prednisona » se vend dans un grand nombre de pharmacies en Géorgie. Un paquet de 30 tablettes à 5 mg coûte environ 3,48 lari, soit 1.40 francs (Aversi, Generic: Prednisona, non daté, https://www.aversi.ge/en/aversi/act/ drugDet/?MatID=76216, consulté le 04.04.2019). L'évolution de l'insuffisance rénale du recourant vers un stade terminal, qui nécessiterait la mise en place d'un traitement dialytique, thématisé dans le certificat médical du (...) 2019 et pronostiqué "en l'absence de traitement", ne constitue qu'un risque à terme, s'inscrivant dans la durée. Si ce risque hypothétique devait se matérialiser, l'intéressé pourrait, comme relevé par le SEM, bénéficier d'un programme étatique de dialyse et de greffe de rein en Géorgie (Social Security Agency, State programme - Dialysis and kidney transplantation, 2013, http://ssa.gov.ge/index.php?sec_id =820&amp;lang_id= ENG, consulté le 04.04.2019 ; SEM, Focus Georgien, Reform im Gesundheitswesen : Staatliche Gesundheits-programme und Krankenversicherung, 21.03.2018, p. 21, https://www.sem.admin.ch/dam/ data/sem/internationales/herkunftslaender/europa-gus/geo/GEO-reform-gesundheitswesen-d.pdf, consulté le 04.04.2019).</w:t>
      </w:r>
    </w:p>
    <w:p>
      <w:r>
        <w:rPr>
          <w:b/>
        </w:rPr>
        <w:t>E. 5.6.2</w:t>
      </w:r>
    </w:p>
    <w:p>
      <w:r>
        <w:t>Quant à la paralysie dont souffre le recourant, le Tribunal n'en sous-estime pas le sérieux. Il y a toutefois lieu de constater que ce handicap ne rend pas l'exécution de son renvoi inexigible. En effet, le recourant a déclaré que, depuis l'accident en 2012, son état s'était amélioré, car il avait réussi à retrouver la mobilité de sa jambe (PV d'audition de A._______ du 17 décembre 2018 [A13/12, p. 9, 8.02]). En outre, il a non seulement pu vivre avec cette condition invalidante pendant six ans, mais a encore bénéficié d'un traitement dans son pays (PV d'audition de A._______ du 17 décembre 2018 [A14/9, p. 2 à 4, R 6 à 21]). Même si l'encadrement et le suivi, en Géorgie, des personnes présentant des pathologies semblables à celles de l'intéressé ne correspondent pas à ceux disponibles en Suisse, force est de constater que le recourant pourra encore à l'avenir bénéficier des soins essentiels garantissant des conditions minimales d'existence et des possibilités de traitement sur place. Le fait que l'intéressé n'aurait pas été traité de manière satisfaisante dans son pays, malgré sa prise en charge par un médecin, n'est pas décisif à cet égard, celui-ci ayant néanmoins bénéficié des soins essentiels nécessaires.</w:t>
      </w:r>
    </w:p>
    <w:p>
      <w:r>
        <w:rPr>
          <w:b/>
        </w:rPr>
        <w:t>E. 5.6.3</w:t>
      </w:r>
    </w:p>
    <w:p>
      <w:r>
        <w:t>S'agissant des autres affections dont l'intéressé est atteint, notamment l'hypertension artérielle, il sied de relever que des médications sont disponibles sur le marché géorgien (SEM, Focus Georgien, précité, p. 25). En particulier, les coûts des médicaments « Amlodipine » et « Metoprolol », prescrits par les médecins en Suisse, sont couverts à 90 % par l'assurance universelle (FactCheck, What are the changes in the universal healthcare?, 06.05.2017, https://factcheck.ge/en/story/28312-what-are-the-changes-in-the-universal-healthcare, consulté le 04.04.2019).</w:t>
      </w:r>
    </w:p>
    <w:p>
      <w:r>
        <w:rPr>
          <w:b/>
        </w:rPr>
        <w:t>E. 5.6.4</w:t>
      </w:r>
    </w:p>
    <w:p>
      <w:r>
        <w:t>Finalement, il est notoire que, depuis février 2013, l'« Universal Health Care » garantit une couverture d'assurance-maladie gratuite pour toutes les personnes qui en étaient auparavant dépourvues (SEM, Focus Georgien, précité, p. 9 et 23 ss; également arrêt du TAF D-2325/2015 du 20 avril 2016, consid. 6.3 avec les références citées). Certes, si les médicaments sont, en tout ou en partie, à la charge des patients, il existe néanmoins des aides additionnelles pour le remboursement de médicaments contre des maladies chroniques en faveur de personnes vulnérables, notamment les personnes handicapées (Factcheck, What are the changes in the universal healthcare?, précité, consulté le 20.03.2019). La « Social Service Agency » peut prendre en charge la totalité des frais médicaux pour les personnes les plus vulnérables de la société géorgienne (Social Security Agency, About us, 2013, http://ssa.gov.ge/index.php?lang_idENG &amp;sec_id =14, consulté le 04.04.2019). Le recourant a d'ailleurs déclaré que, hormis la première visite chez un médecin spécialiste, les consultations médicales, les opérations et les analyses étaient prises en charge par l'assurance universelle de l'Etat (PV d'audition de A._______ du 17 décembre 2018 [A14/9, p. 3, R 11 et 12 et p. 5, R 38 à 41). Partant, l'argument selon lequel l'intéressé n'avait pas accès à un traitement adéquat en Géorgie, faute de moyens financiers suffisants, tombe à faux.</w:t>
      </w:r>
    </w:p>
    <w:p>
      <w:r>
        <w:rPr>
          <w:b/>
        </w:rPr>
        <w:t>E. 5.6.5</w:t>
      </w:r>
    </w:p>
    <w:p>
      <w:r>
        <w:t>Au vu de ce qui précède, bien que l'intéressé ait besoin d'un traitement médicamenteux et d'un suivi médical, son état de santé est stable et n'apparaît pas d'une gravité telle à nécessiter des soins essentiels ou une prise en charge médicale particulièrement lourde, qui ne pourrait pas, le cas échéant, être poursuivie en Géorgie, ce pays possédant des structures médicales suffisantes pour répondre aux besoins de l'intéressé.</w:t>
      </w:r>
    </w:p>
    <w:p>
      <w:r>
        <w:rPr>
          <w:b/>
        </w:rPr>
        <w:t>E. 5.7</w:t>
      </w:r>
    </w:p>
    <w:p>
      <w:r>
        <w:t>Par ailleurs, le recourant est au bénéfice d'une rente d'invalidité et la recourante, disposant d'une formation et d'une expérience professionnelle, pourra se mettre en quête d'un emploi à son retour. Les intéressés devraient être en mesure d'emménager à nouveau dans leur logement. Au surplus, ils pourront compter sur un large réseau social et familial, dont le soutien, tant moral que financier, devrait faciliter leur retour. Il peut en outre être attendu d'eux qu'ils sollicitent de la part de leurs enfants, domiciliés à l'étranger, une aide financière, à même de les aider à leur réinstallation, comme cela était d'ailleurs déjà le cas par le passé (PV d'audition de A._______ du 17 décembre 2018 [A13/12, p. 5, 1.17.05).</w:t>
      </w:r>
    </w:p>
    <w:p>
      <w:r>
        <w:rPr>
          <w:b/>
        </w:rPr>
        <w:t>E. 5.8</w:t>
      </w:r>
    </w:p>
    <w:p>
      <w:r>
        <w:t>Au vu de ce qui précède, l'exécution du renvoi doit être considérée comme raisonnablement exigible.</w:t>
      </w:r>
    </w:p>
    <w:p>
      <w:r>
        <w:rPr>
          <w:b/>
        </w:rPr>
        <w:t>E. 6</w:t>
      </w:r>
    </w:p>
    <w:p>
      <w:r>
        <w:t>Enfin, les recourants sont en possession de documents suffisants pour rentrer dans leur pays, étant titulaires de passeports géorgiens valables jusqu'en (...). L'exécution du renvoi ne se heurte donc pas à des obstacles insurmontables d'ordre technique et s'avère également possible au sens de l'art. 83 al. 2 LEI (ATAF 2008/34 consid. 12).</w:t>
      </w:r>
    </w:p>
    <w:p>
      <w:r>
        <w:rPr>
          <w:b/>
        </w:rPr>
        <w:t>E. 7</w:t>
      </w:r>
    </w:p>
    <w:p>
      <w:r>
        <w:t>Dès lors, la décision attaquée ne viole pas le droit fédéral, a établi de manière exacte et complète l'état de fait pertinent (art. 106 al. 1 LAsi) et n'est pas inopportune (art. 49 PA, ATAF 2014/26 consid. 5). En conséquence, le recours est rejeté.</w:t>
      </w:r>
    </w:p>
    <w:p>
      <w:r>
        <w:rPr>
          <w:b/>
        </w:rPr>
        <w:t>E. 8</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Compte tenu des particularités de l'espèce, il est toutefois renoncé à leur perception (art. 63 al. 1 i.f. PA et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