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E-3405/2021 vom 1. September 2021</w:t>
      </w:r>
    </w:p>
    <w:p>
      <w:r>
        <w:t>Bundesverwaltungsgericht, 2021-09-01, DE</w:t>
      </w:r>
    </w:p>
    <w:p>
      <w:r>
        <w:rPr>
          <w:b/>
        </w:rPr>
        <w:t xml:space="preserve">Quelle: </w:t>
      </w:r>
      <w:r>
        <w:t>https://mcp.opencaselaw.ch/entscheid/bvger_E-3405_2021</w:t>
      </w:r>
    </w:p>
    <w:p>
      <w:r>
        <w:t>FR: TAF E-3405/2021 du 1 septembre 2021</w:t>
      </w:r>
    </w:p>
    <w:p>
      <w:r>
        <w:t>IT: TAF E-3405/2021 del 1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Asylgesuchstellung und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seines Entscheids aus, dass die vom Beschwerdeführer vorgebrachten Repressalien der Familie seiner geschiedenen Frau nach der Scheidung im Jahre 2011 geendet hätten und es nach Aussage des Beschwerdeführers seither zu keinen weiteren Vorfällen mehr gekommen sei, obschon er sich weitere acht Jahre in Deutschland aufgehalten habe. Entsprechend sei sein Vorbringen flüchtlingsrechtlich nicht relevant im Sinne von Art. 3 AsylG. Der Vollständigkeit halber sei zudem anzumerken, dass seine Ausführungen als stereotyp zu bezeichnen seien und er keine Beweismittel habe einreichen können. Ausserdem sei nicht nachvollziehbar, dass nur er, und nicht auch seine geschiedene Frau, den Bedrohungen durch ihre Familie ausgesetzt gewesen sei. Soweit der Beschwerdeführer geltend gemacht habe, der yezidischen Religionsgemeinschaft anzugehören, sei festzuhalten, dass im Allgemeinen die Anforderungen an die Feststellung einer Kollektivverfolgung gemäss ständiger Praxis und Rechtsprechung sehr hoch seien. Das Bundesverwaltungsgericht habe zwar in seinem Referenzurteil D-4600/2014 vom 29. November 2016 die Kollektivverfolgung von Yeziden im Irak angesichts des Vormarsches des «Islamischen Staates» (IS) und dessen äusserst brutalen Vorgehens gegen nahezu alle Angehörigen der yezidischen Bevölkerungsgruppe in der ausschlaggebenden Provinz Ninawa als gegeben erachtet. Die Machtverhältnisse dort hätten sich aber seither grundlegend geändert. Der IS habe mittlerweile seine Herrschaft in der Provinz Ninawa beinahe vollständig verloren. Die Angriffe würden gleichermassen die gesamte irakische Bevölkerung treffen und der Fokus des IS habe sich in den letzten Monaten auf die Provinz Diyala gelegt. Die Situation in der Provinz Ninawa, dem Hauptsiedlungsgebiet der Yeziden, habe sich insgesamt nachhaltig verbessert und stabilisiert, so dass entgegen der bisherigen Rechtsprechung nicht mehr von einer Kollektivverfolgung der Yeziden im Irak auszugehen sei.</w:t>
      </w:r>
    </w:p>
    <w:p>
      <w:r>
        <w:rPr>
          <w:b/>
        </w:rPr>
        <w:t>E. 5.2</w:t>
      </w:r>
    </w:p>
    <w:p>
      <w:r>
        <w:t>Dem wird auf Beschwerdeebene entgegnet, dass der Beschwerdeführer gerade wegen seiner Flucht aus dem Irak aktuell nicht mehr von der Familie seiner geschiedenen Ehefrau belangt werde, wobei die einzelnen Vorkommnisse in Deutschland für das Vorliegen einer Verfolgung sprechen würden. Die Akteure dürften die Drohungen gegen ihn wohl eingestellt haben, weil sie sich den örtlichen gesetzlichen Gegebenheiten hätten fügen müssen. Schliesslich sei das SEM nicht kompetent, die Flüchtlingseigenschaft des Beschwerdeführers zu prüfen. Er habe in Deutschland trotz seiner Delinquenz eine Duldung besessen, dies aufgrund seiner Flüchtlingseigenschaft. Die Einleitung des Dublin-Verfahrens sei mithin nicht korrekt gewesen. Vielmehr stelle Deutschland für ihn einen sicheren Drittstaat dar. Indem das SEM dem Beschwerdeführer die Flüchtlingseigenschaft abspreche, verletze es die Flüchtlingskonvention und die Dublin-Verordnung. In Bezug auf die Kollektivverfolgung der Yeziden im Irak sei festzuhalten, dass die Vorinstanz dies mit dem Wegfall des Einflusses des IS begründe, obschon die Kollektivverfolgung in Bezug auf die Situation der Yeziden hätte begründet werden müssen. Ausserdem sei der Textbaustein zu Syrien verwendet worden und die Bezugnahme auf die Provinz Dohuk, aus welcher der Beschwerdeführer stamme, fehle. Gerügt wird sodann eine mangelhafte Abklärung in Bezug auf den Gesundheitszustand des Beschwerdeführers und diesbezüglich die Erstellung eines Gutachtens beantragt.</w:t>
      </w:r>
    </w:p>
    <w:p>
      <w:r>
        <w:rPr>
          <w:b/>
        </w:rPr>
        <w:t>E. 6.1</w:t>
      </w:r>
    </w:p>
    <w:p>
      <w:r>
        <w:t>Dem Beschwerdeführer ist es nach Durchsicht der Akten nicht gelungen, eine asylrelevante Verfolgung glaubhaft zu machen. Diesbezüglich ist zur Vermeidung von Wiederholungen vorab auf die zutreffende Argumentation der Vorinstanz zu verweisen (Verfügung S. 4 ff.).</w:t>
      </w:r>
    </w:p>
    <w:p>
      <w:r>
        <w:rPr>
          <w:b/>
        </w:rPr>
        <w:t>E. 6.2</w:t>
      </w:r>
    </w:p>
    <w:p>
      <w:r>
        <w:t>Es fehlt den geltend gemachten Behelligungen durch die Familie seiner geschiedenen Frau bereits an der erforderlichen Aktualität. Der letzte Kontakt mit den Familienangehörigen seiner geschiedenen Frau erfolgte seinen Angaben zufolge im Jahre 2007; das letzte Mal soll er im Jahre 2011 angegriffen worden sein (SEM-Vorhaben [...]-12/32 [nachfolgend act. A12/32] F201 f.). Seit seiner Scheidung im Jahre 2011 habe er auch keinen Kontakt mehr zu seiner geschiedenen Frau und keine Informationen über sie (act. A12/32 F209 f.). Obschon er sich mithin weitere acht Jahre in Deutschland aufgehalten hat, wurde er nach der Scheidung nicht mehr belangt. Es ist daher nicht davon auszugehen, dass die Familienangehörigen seiner geschiedenen Frau, selbst bei einer Rückkehr in seinen Heimatstaat, eine Bedrohung für ihn darstellen.</w:t>
      </w:r>
    </w:p>
    <w:p>
      <w:r>
        <w:rPr>
          <w:b/>
        </w:rPr>
        <w:t>E. 6.3</w:t>
      </w:r>
    </w:p>
    <w:p>
      <w:r>
        <w:t>Zudem ist festzuhalten, dass die Ausführungen des Beschwerdeführers zu seinen Problemen mit seiner Schwiegerfamilie weitgehend knapp und unsubstantiiert ausgefallen sind und, auch unter Berücksichtigung der seit den Vorfällen vergangenen Zeit, einen sehr geringen Detaillierungsgrad aufweisen, weshalb sie den Anforderungen an die Glaubhaftmachung im Sinne von Art. 7 AsylG an sich nicht standhalten dürften. Der Umstand, dass er ausserdem den deutschen, niederländischen und schweizerischen Behörden unterschiedliche Identitäten angegeben hat, lässt weiter an seiner persönlichen Glaubwürdigkeit zweifeln.</w:t>
      </w:r>
    </w:p>
    <w:p>
      <w:r>
        <w:rPr>
          <w:b/>
        </w:rPr>
        <w:t>E. 6.4</w:t>
      </w:r>
    </w:p>
    <w:p>
      <w:r>
        <w:t>Zu der vom Beschwerdeführer geltend gemachten Zugehörigkeit zur yezidischen Glaubensgemeinschaft ist Folgendes festzustellen: Das Bundesverwaltungsgericht hält in seiner koordinierten und publizierten Rechtsprechung im Urteil des Bundesverwaltungsgerichts D-4600/2014 vom 29. November 2016 E. 6.3 ff., jüngst bestätigt mit Urteil des Bundesverwaltungsgerichts D-4038/2020 vom 24. Juni 2021 E. 6 ff. (zur Publikation als Referenzurteil vorgesehen) fest, dass Yeziden im Distrikt Sinjar in der Provinz Ninawa einer Kollektivverfolgung durch Angehörige des IS ausgesetzt sind, da die Sicherheitskräfte vor Ort weiterhin nicht in der Lage oder nicht willens sind, Übergriffe und Aktivitäten des IS in Ninawa effektiv zu unterbinden. Damit stellt der IS nach wie vor eine reale Bedrohung für die yezisiche Glaubensgemeinschaft dar. Diese Einschätzung gilt aber nicht flächendeckend für das gesamte Gebiet des Irak, insbesondere nicht für die autonome kurdische Nordprovinz Dohuk, aus welcher der Beschwerdeführer stammt. In dieser Region ist eine Kollektivverfolgung von Yeziden zu verneinen (vgl. Urteil des Bundesverwaltungsgerichts D-4038/2020 vom 24. Juni 2021 E. 8.2).</w:t>
      </w:r>
    </w:p>
    <w:p>
      <w:r>
        <w:rPr>
          <w:b/>
        </w:rPr>
        <w:t>E. 6.5</w:t>
      </w:r>
    </w:p>
    <w:p>
      <w:r>
        <w:t>Nach dem Gesagten kann festgestellt werden, dass der Beschwerdeführer keine Fluchtgründe respektive keine objektiv begründete Furcht vor Verfolgung im Falle seiner Rückkehr in den Heimatstaat hat glaubhaft machen können. Die Vorinstanz hat deshalb zu Recht seine Flüchtlingseigenschaft verneint und sein Asylgesuch abgelehnt.</w:t>
      </w:r>
    </w:p>
    <w:p>
      <w:r>
        <w:rPr>
          <w:b/>
        </w:rPr>
        <w:t>E. 7</w:t>
      </w:r>
    </w:p>
    <w:p>
      <w:r>
        <w:t>Lediglich ergänzend ist festzuhalten, dass das verfahrensrechtliche Vorgehen der Vorinstanz in keiner Weise zu beanstanden ist. Der Beschwerdeführer verfügt in Deutschland offensichtlich lediglich über eine sogenannte Duldung nach Widerruf seiner Flüchtlingseigenschaft und des Asyls. Bei einer solchen Duldung handelt es sich um eine vorübergehende Aussetzung des Vollzugs der Rückschiebung in den Heimatstaat für eine ausreisepflichtige Person. Eine Duldung verschafft der betroffenen Person keinen rechtmäßigen Aufenthalt in Deutschland; der Beschwerdeführer muss weiterhin das Gebiet der Bundesrepublik Deutschland verlassen, es wird aber vorübergehend davon abgesehen, die Ausreisepflicht mit dem Zwangsmittel der Abschiebung durchzusetzen. Das SEM hat mithin zutreffend ein sog. «take-back»-Dublin-Verfahren nach dem dort abgeschlossenem Asylverfahren durchgeführt. Nach Ablauf der Überstellungsfrist aufgrund der Inhaftierung des Beschwerdeführers wurde das nationale Asyl- und Wegweisungsverfahren in der Schweiz eingeleitet.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es dem Beschwerdeführer nicht gelungen ist, eine Verfolgung nachzuweisen oder auch nur glaubhaft zu machen, ist diese Voraussetzung nicht erfüllt. Ferner lässt die allgemeine Menschenrechtssituation im Gebiet des «Kurdistan Regional Government (KRG)» den Wegweisungsvollzug zum heutigen Zeitpunkt nicht als unzulässig erscheinen (vgl. den als Referenzurteil publizierten Entscheid des Bundesverwaltungsgerichts [BVGer] E-3737/2015 vom 14. Dezember 2015 E. 6.3, mit Hinweis auf E-847/2014 vom 13. April 2015; vgl. E-6504/2018 vom 11. Dezember 2018 E. 7.2.2).</w:t>
      </w:r>
    </w:p>
    <w:p>
      <w:r>
        <w:rPr>
          <w:b/>
        </w:rPr>
        <w:t>E. 9.3.3</w:t>
      </w:r>
    </w:p>
    <w:p>
      <w:r>
        <w:t>Was die auf Beschwerdeebene eingereichten medizinischen Kurzberichte sowie die geltend gemachte psychische Verfassung des Beschwerdeführers und seinen Alkohol- und Drogenmissbrauch anbelangt, ist festzustellen, dass die medizinische Situation des Beschwerdeführers einer Zulässigkeit der Wegweisung nicht entgegensteht. Lediglich in Einzelfällen und unter ganz aussergewöhnlichen Umständen kann der Vollzug der Wegweisung einer ausländischen Person mit Blick auf deren gesundheitliche Situation einen Verstoss gegen Art. 3 EMRK darstellen (EGMR, D. gegen Grossbritannien, Urteil vom 2. Mai 1997, Recueil des arrêts et décisions 1997-III, E. 49 ff.; vgl. BVGE 2011/9 E. 7.1 m.w.H.). Dies ist dann der Fall, wenn sich die betroffene Person in einem fortgeschrittenen oder terminalen Krankheitsstadium und bereits in Todesnähe befindet, wobei im Falle einer Überstellung mit dem sicheren Tod gerechnet werden müsste oder wenn die betroffene Person mangels angemessener medizinischer Behandlung im Heimatstaat mit einem realen Risiko konfrontiert würde, einer ernsten, raschen und unwiederbringlichen Verschlechterung ihres Gesundheitszustands ausgesetzt zu werden, was zu intensivem Leiden oder einer erheblichen Verkürzung der Lebenserwartung führen würde (vgl. Urteil des EGMR Paposhvili gegen Belgien 13. Dezember 2016, Grosse Kammer 41738/10, §§ 180-193 m.w.H. und zum Ganzen auch BVGE 2017 VI/7 E. 6). Die gesundheitlichen Beschwerden, die sich während des Strafvollzugs ergeben haben, sind allesamt behandelt worden und nicht schwerwiegender Natur (vgl. Beschwerde Beilage 3). Der Beschwerdeführer wird im Strafvollzug sodann therapiert (vgl. Beschwerde Beilage 3). Auf die Einholung eines ärztlichen Gutachtens ausserhalb der therapeutischen Betreuung im Strafvollzug, wie sie in der Eingabe vom 29. Juli 2019 beantragt wird, kann für das vorliegende Wegweisungsvollzugsverfahren verzichtet werden. Es ist nämlich gestützt auf die Akten nicht davon auszugehen, dass die gesundheitlichen und psychischen Beeinträchtigungen die geforderte Erheblichkeit im genannten Sinne aufweisen (vgl. Beschwerde Beilage 3). Der entsprechende Beweisantrag ist daher abzuweisen. Das Eventualbegehren um Aufhebung der angefochtenen Verfügung und Rückweisung zur weiteren medizinischen Abklärung (vgl. Beschwerde Antrag 3, Ziff. 2.4) ist ebenfalls abzuweisen.</w:t>
      </w:r>
    </w:p>
    <w:p>
      <w:r>
        <w:rPr>
          <w:b/>
        </w:rPr>
        <w:t>E. 9.3.4</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Eine entsprechende Prüfung entfällt im Falle des Beschwerdeführers jedoch, da aufgrund seiner Verurteilung Art. 83 Abs. 7 Bstn. a und b AIG zur Anwendung gelangen.</w:t>
      </w:r>
    </w:p>
    <w:p>
      <w:r>
        <w:rPr>
          <w:b/>
        </w:rPr>
        <w:t>E. 9.4.2</w:t>
      </w:r>
    </w:p>
    <w:p>
      <w:r>
        <w:t>Gemäss Art. 83 Abs. 7 Bstn. a und b AIG wird eine vorläufige Aufnahme wegen Unmöglichkeit oder Unzumutbarkeit (Art. 83 Abs. 2 und 4 AIG) nicht verfügt, wenn die betreffende Person zu einer längerfristigen Freiheitsstrafe im In- oder Ausland verurteilt wurde, wenn gegen sie eine strafrechtliche Massnahme im Sinne von Art. 64 oder 61 StGB angeordnet wurde oder wenn sie erheblich oder wiederholt gegen die öffentliche Sicherheit und Ordnung in der Schweiz oder im Ausland verstossen hat oder diese gefährdet oder die innere oder äussere Sicherheit gefährdet.</w:t>
      </w:r>
    </w:p>
    <w:p>
      <w:r>
        <w:rPr>
          <w:b/>
        </w:rPr>
        <w:t>E. 9.4.3</w:t>
      </w:r>
    </w:p>
    <w:p>
      <w:r>
        <w:t>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(BGE 135 II 377 E. 4.2). Dieser Praxis folgt das Bundesverwaltungsgericht im Bereich seiner endgültigen Entscheidkompetenz (vgl. u.a. Urteile des BVGer E-3152/2018 vom 22. Juni 2018 E. 8.3.2; D-1105/2017 vom 31. Mai 2017 E. 4.2, m.w.H.).</w:t>
      </w:r>
    </w:p>
    <w:p>
      <w:r>
        <w:rPr>
          <w:b/>
        </w:rPr>
        <w:t>E. 9.4.4</w:t>
      </w:r>
    </w:p>
    <w:p>
      <w:r>
        <w:t>Der Beschwerdeführer wurde vom Kreisgericht H._______ zu einer längerfristigen Freiheitsstrafe (4.5 Jahre; vgl. Sachverhalt Bst. D.) in obgenanntem Sinne verurteilt (Art. 83 Abs. 7 Bst. a AIG). Die Voraussetzung für einen von vornherein gegebenen Ausschluss der vorläufigen Aufnahme im Falle einer Unzumutbarkeit oder Unmöglichkeit ist damit grundsätzlich erfüllt.</w:t>
      </w:r>
    </w:p>
    <w:p>
      <w:r>
        <w:rPr>
          <w:b/>
        </w:rPr>
        <w:t>E. 9.4.5</w:t>
      </w:r>
    </w:p>
    <w:p>
      <w:r>
        <w:t>Der Ausschluss von der vorläufigen Aufnahme erweist sich vorliegend auch als verhältnismässig (Art. 5 Abs. 2 BV; Art. 96 Abs. 1 AIG).</w:t>
      </w:r>
    </w:p>
    <w:p>
      <w:r>
        <w:rPr>
          <w:b/>
        </w:rPr>
        <w:t>E. 9.4.5.1</w:t>
      </w:r>
    </w:p>
    <w:p>
      <w:r>
        <w:t>Der Beschwerdeführer wurde wegen versuchter vorsätzlicher Tötung, Diebstahls, Hausfriedensbruchs, einfacher Sachbeschädigung, mehrfacher Gewalt und Drohung gegen Behörden und Beamte und falschen Alarms rechtskräftig verurteilt. Mit diesen Strafhandlungen hat er wertvolle Rechtsgüter, namentlich Leib und Leben und die persönliche Freiheit gefährdet (vgl. Sachverhalt Bst. C.; Art. 121 Abs. 3 Bst. a BV; Urteile des BGer 2C_22/2018 vom 5. Juli 2018 E. 4.3 und 2C_390/2017 vom 6. Juni 2017 E. 2.2). Zwar wurde vom Kreisgericht H._______ der ordentliche Strafrahmen in Anwendung von Art. 48a Abs. 1 StGB wegen verminderter Schuldfähigkeit (aufgrund seiner Alkoholintoxikation), dem ausgebliebenen Taterfolg und dem eventualvorsätzlichen Handeln unterschritten. Angesichts seiner Vorstrafen in Deutschland - zwischen 2011 und 2019 machte er sich unter anderem wegen Bedrohung, Widerhandlung gegen das Waffengesetz, Diebstahls, Körperverletzung und Sachbeschädigung mehrfach strafbar - wurde die Strafe aber wiederum um einige Monate erhöht. Es besteht mithin ein erhebliches öffentliches Interesse am Vollzug der Wegweisung des Beschwerdeführers.</w:t>
      </w:r>
    </w:p>
    <w:p>
      <w:r>
        <w:rPr>
          <w:b/>
        </w:rPr>
        <w:t>E. 9.4.5.2</w:t>
      </w:r>
    </w:p>
    <w:p>
      <w:r>
        <w:t>Dem festgestellten öffentlichen Interesse am Vollzug der Wegweisung steht kein überwiegendes privates Interesse des Beschwerdeführers an einem weiteren Verbleib in der Schweiz gegenüber. Der Beschwerdeführer hält sich erst seit 2019 in der Schweiz auf, wobei er nach seiner Einreise in die Schweiz am 10. März 2019 bereits am 14. März 2019 im beschriebenen Sinn straffällig, tags darauf festgenommen wurde und sich seither in Haft befindet. Eine berufliche und soziale Integration in der Schweiz vermag er mithin nicht aufzuweisen. Sein Suchtverhalten ist therapiebedürftig. Die Bewältigung der Suchterkrankung hat er selbst in der Hand, wird ihm doch eine Therapie zur Verfügung gestellt. Der aktuelle psychische Gesundheitszustand kann daher nicht zu einer anderen Einschätzung der Verhältnismässigkeit führen. Nach dem Gesagten sind die privaten Interessen des Beschwerdeführers an einem weiteren Verbleib in der Schweiz als äusserst gering einzustufen.</w:t>
      </w:r>
    </w:p>
    <w:p>
      <w:r>
        <w:rPr>
          <w:b/>
        </w:rPr>
        <w:t>E. 9.4.5.3</w:t>
      </w:r>
    </w:p>
    <w:p>
      <w:r>
        <w:t>Insgesamt ist das öffentliche Interesse am Wegweisungsvollzug im vorliegenden Einzelfall höher zu gewichten als das private Interesse des Beschwerdeführers am weiteren Verbleib in der Schweiz. Die Anwendung der Ausschlussklausel gemäss Art. 83 Abs. 7 AIG ist als verhältnismässig zu erachten.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Aus den vorstehenden Erwägungen ergibt sich, dass die Beschwerdebegehren des Beschwerdeführers schon bei Einreichung des Rechtsmittels als aussichtslos zu gelten hatten. Damit ist - ungeachtet der Frage der prozessualen Bedürftigkeit des Beschwerdeführers - eine der kumulativ zu erfüllenden Voraussetzungen für die Gewährung der unentgeltlichen Rechtspflege nach Art. 65 Abs. 1 VwVG nicht erfüllt und das entsprechende Gesuch ist abzuweisen. Aus demselben Grund fällt auch die Beiordnung einer amtlichen Rechtsverbeiständung nach Art. 102m Abs. 1 AsylG von vornherein ausser Betracht. Das Gesuch um Verzicht auf die Kostenvorschusserhebung ist mit dem vorliegenden Entscheid gegenstandslos geworden.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