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E-33/2017 vom 6. April 2017</w:t>
      </w:r>
    </w:p>
    <w:p>
      <w:r>
        <w:t>Bundesverwaltungsgericht, 2017-04-06, DE</w:t>
      </w:r>
    </w:p>
    <w:p>
      <w:r>
        <w:rPr>
          <w:b/>
        </w:rPr>
        <w:t xml:space="preserve">Quelle: </w:t>
      </w:r>
      <w:r>
        <w:t>https://mcp.opencaselaw.ch/entscheid/bvger_E-33_2017</w:t>
      </w:r>
    </w:p>
    <w:p>
      <w:r>
        <w:t>FR: TAF E-33/2017 du 6 avril 2017</w:t>
      </w:r>
    </w:p>
    <w:p>
      <w:r>
        <w:t>IT: TAF E-33/2017 del 6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Einschränkung (E. 4.1)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Gegenstand des vorliegenden Beschwerdeverfahrens bilden die Flüchtlingseigenschaft des Beschwerdeführers, die Gewährung von Asyl sowie die Wegweisung. Der Wegweisungsvollzug ist nicht zu prüfen, nachdem die Vorinstanz zufolge Unzumutbarkeit des Wegweisungsvollzugs die vorläufige Aufnahme des Beschwerdeführers angeordnet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Sodann seien seine Vorbringen bezüglich der illegalen Ausreise aus Eritrea asylrechtlich nicht relevant, weshalb er die Flüchtlingseigenschaft nicht erfülle. In wesentlichen Punkten seien seine Schilderungen vage, nicht hinreichend substanziert und unlogisch ausgefallen. Er habe den gescheiterten Fluchtversuch und die Verhaftung seiner Kollegen nicht präzisieren können, obwohl er dies als zentrales Element seiner Verfolgungsfurcht dargestellt habe. Seine Erläuterungen bezüglich der von ihm getroffenen Vorsichtsmassnahmen seien nicht überzeugend. So habe er sich nach dem ersten Hausbesuch der Polizei jeweils nachts ausserhalb des Hauses aufgehalten, obwohl der erwähnte Hausbesuch tagsüber stattgefunden habe. Nach dem ersten Besuch der Polizei habe er sich noch über einen Monat teilweise zu Hause aufgehalten. Sodann würden für Personen, welche freiwillig nach Eritrea zurückkehren, die eritreischen Straftatbestände für die illegale Ausreise nicht zur Anwendung gelangen. Illegal Ausgereiste könnten straffrei zurückkehren, sofern sie bei Nichterfüllung ihrer nationalen Dienstpflicht die sogenannte Diasporasteuer bezahlen und ein Reueformular unterzeichnen würden. Bei zwangsweisen Rückführungen müsse davon ausgegangen werden, dass der Nationaldienst-Status das wichtigste Kriterium für den Umgang der eritreischen Behörden mit Rückkehrern darstelle. Die illegale Ausreise spiele eine untergeordnete Rolle. Der Beschwerdeführer habe Eritrea als minderjährige und somit noch nicht dienstpflichtige Person verlassen, weshalb er nicht gegen die Proclamation on National Service von 1995 verstossen habe. Den Akten seien keine Hinweise zu entnehmen, dass er bei einer Rückkehr ernsthafte Nachteile zu gewärtigen hätte.</w:t>
      </w:r>
    </w:p>
    <w:p>
      <w:r>
        <w:rPr>
          <w:b/>
        </w:rPr>
        <w:t>E. 5.2</w:t>
      </w:r>
    </w:p>
    <w:p>
      <w:r>
        <w:t>In seiner Rechtsmitteleingabe bekräftigt der Beschwerdeführer den geltend gemachten Sachverhalt. Die Vorinstanz verkenne, dass ihm eine unrechtmässige Verhaftung sowie eine unmenschliche Behandlung unmittelbar bevorgestanden hätten. Er habe in nachvollziehbarer Weise geschildert, dass ihm ähnliche Fälle bekannt sein, in denen unbeteiligte Angehörige von geflüchteten Personen verhaftet und gefoltert worden seien, weil sie verdächtigt worden seien, ebenfalls ausreisen zu wollen. Seine Freunde hätten ihn sodann nicht über ihre Flucht informiert, weshalb er wenig über die genauen Umstände von deren Ausreise habe berichten können. Es würden sodann klare Indizien vorliegen, dass er aufgrund des Fluchtversuchs seiner Freunde gesucht worden sei. Die Polizisten hätten ein Foto dabei gehabt, welches ihn zusammen mit den Festgenommenen gezeigt habe. Er sei jeweils nur kurz nach Hause zurückgekehrt und zu Zeiten, bei denen er wusste, dass ein Auftauchen der Polizei sehr unwahrscheinlich sei. Aufgrund der illegalen Ausreise aus Eritrea habe er zudem bei einer Rückkehr nach Eritrea ernsthafte Nachteile im Sinne von Art. 3 AsylG zu befürchten. Weiter macht er geltend, die Vorinstanz habe die in BVGE 2010/54 aufgestellten Regeln für eine Praxisänderung klarerweise missachtet, indem sie ihre Praxisänderung nicht nur auf einzelne Asylverfahren, sondern generell angewendet habe. Sodann habe sie es unterlassen, in der angefochtenen Verfügung unmissverständlich klarzustellen, dass es sich dabei um ein Pilotverfahren handle, mit welchem bewusst von der publizierten Praxis des Bundesverwaltungsgerichts abgewichen werde. Zudem nehme die Vorinstanz keinen Bezug auf die relevante geltende Praxis.</w:t>
      </w:r>
    </w:p>
    <w:p>
      <w:r>
        <w:rPr>
          <w:b/>
        </w:rPr>
        <w:t>E. 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kürzlich aufgegeben. Das Bundesverwaltungsgericht kam im Urteil D-7898/2015 vom 30. Januar 2017 (als Referenzurteil publiziert) nach einer eingehenden Lageanalyse (vgl. E. 4.6-4.11) zum Schluss, dass die bisherige Praxis, wonach alleine eine illegale Ausreise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w:t>
      </w:r>
    </w:p>
    <w:p>
      <w:r>
        <w:t>Im erwähnten Entscheid hat das Bundesverwaltungsgericht zudem die Zulässigkeit der durch die Vorinstanz vorgenommenen Praxisänderung bestätigt. Damit hat es auch implizit dem Vorgehen der Vorinstanz zugestimmt, weshalb der Beschwerdeführer aus BVGE 2010/54 nichts zu seinen Gunsten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Die Vorinstanz hat zudem die Praxisänderung dem Gericht vorgängig kommuniziert und die Öffentlichkeit durch die Medienkonferenz vom 23. Juni 2016 informiert. Die Vorgehensweise der Vorinstanz ist nicht zu beanstanden.</w:t>
      </w:r>
    </w:p>
    <w:p>
      <w:r>
        <w:rPr>
          <w:b/>
        </w:rPr>
        <w:t>E. 8</w:t>
      </w:r>
    </w:p>
    <w:p>
      <w:r>
        <w:t>Die Vorinstanz ist in ihren Erwägungen zur zutreffenden Erkenntnis gelangt, die geltend gemachten Asylvorbringen des Beschwerdeführers würden den Anforderungen von Art. 7 AsylG an die Glaubhaftmachung nicht genügen und seine geltend angeblichen illegale Ausreise sei asylrechtlich unbeachtlich, weshalb der Beschwerdeführer die Flüchtlingseigenschaft nicht erfülle und keinen Anspruch auf Asyl habe. Auf die betreffenden Erwägungen der Vorinstanz gemäss angefochtener Verfügung und Zusammenfassung in E. 5.1 kann zur Vermeidung von Wiederholungen verwiesen werden. Der Inhalt der Beschwerde führt zu keiner anderen Betrachtungsweise. Nicht zu überzeugen vermögen insbesondere die Vorsichtsmassnahmen, welche der Beschwerdeführer ergriffen haben soll, um einer Verhaftung zu entgehen. So erscheint es nicht plausibel, dass die Polizei lediglich das erste Mal tagsüber und danach immer spät in der Nacht auftauche, um Personen unerwartet zu verhaften. Dieses vorhersehbare Verhalten würde einer überraschenden Festnahme entgegenstehen. Trotz der Vorladung durch die Polizei blieb der Beschwerdeführer noch einen Monat in Eritrea und sei jeweils erst nach zwei Uhr nachts nach Hause gegangen; dies würde jedoch gerade der Zeit entsprechen, zu welcher die Polizei angeblich die Verhaftungen durchführt. In einer Gesamtwürdigung sind seine Asylvorbringen als unglaubhaft einzustufen. Angesichts der oben erwähnten Rechtsprechung des Bundesverwaltungsgerichts kann sodann auf eine eingehende Glaubhaftigkeitsbeurteilung der illegalen Ausreise des Beschwerdeführers verzichtet werden. Zusätzliche Anknüpfungspunkte, welche zu einer Schärfung des Profils des Beschwerdeführers führen würden, liegen nicht vor. Als Minderjähriger war er noch nicht militärdienstpflichtig, weshalb er nicht als Deserteur oder Refraktär geltend kann. Es ergeben sich aus den Akten keine Hinweise, welche ihn in den Augen des eritreischen Regimes als missliebige Person erscheinen lassen könnten. Eine asylrechtlich beachtliche Verfolgung lässt sich nicht annehmen.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Die von der Vorinstanz wegen Unzumutbarkeit des Vollzugs verfügte vorläufige Aufnahme bleibt dadurch unberührt und tritt formell in Rechtskraft.</w:t>
      </w:r>
    </w:p>
    <w:p>
      <w:r>
        <w:rPr>
          <w:b/>
        </w:rPr>
        <w:t>E. 11.1</w:t>
      </w:r>
    </w:p>
    <w:p>
      <w:r>
        <w:t>Bei diesem Ausgang des Verfahrens wären die Kosten dem Beschwerdeführer aufzuerlegen (Art. 63 Abs. 1 VwVG). Auf deren Erhebung ist indes angesichts des mit Zwischenverfügung vom 16. Januar 2017 gutgeheissenen Gesuchs um Gewährung der unentgeltlichen Rechtspflege zu verzichten.</w:t>
      </w:r>
    </w:p>
    <w:p>
      <w:r>
        <w:rPr>
          <w:b/>
        </w:rPr>
        <w:t>E. 11.2</w:t>
      </w:r>
    </w:p>
    <w:p>
      <w:r>
        <w:t>Mit Zwischenverfügung vom 16. Januar 2017 wurde dem Beschwerdeführer die unentgeltliche Rechtsverbeiständung gewährt und MLaw Ruedy Bollack als amtlicher Rechtsbeistand eingesetzt. Die notwendigerweise erwachsenen Parteikosten sind durch das Bundesverwaltungsgericht zu übernehmen (vgl. Art. 110a Abs. 1 AsylG i.V.m. Art. 9-14 des Reglements vom 21. Februar 2008 über die Kosten und Entschädigungen vor dem Bundesverwaltungsgericht [VGKE, SR 173.320.2]). Der Rechtsvertreter reichte keine Kostennote ein, weshalb die notwendigen Parteikosten aufgrund der Akten zu bestimmen sind (Art. 14 Abs. 2 in fine VGKE). Nach Praxis des Gerichts werden amtlich bestellte Rechtsvertreter ohne Anwaltspatent mit einem Stundensatz von Fr. 100.- bis Fr. 150.- entschädigt (vgl. Art. 12 i.V.m. Art. 10 Abs. 2 VGKE). Gestützt auf die in Betracht zu ziehenden Bemessungsfaktoren (Art. 9-13 VGKE) ist dem Rechtsbeistand zu Lasten des Bundesverwaltungsgericht ein Honorar von insgesamt Fr. 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