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E-3392/2021 vom 23. September 2025</w:t>
      </w:r>
    </w:p>
    <w:p>
      <w:r>
        <w:t>Bundesverwaltungsgericht, 2025-09-23, DE</w:t>
      </w:r>
    </w:p>
    <w:p>
      <w:r>
        <w:rPr>
          <w:b/>
        </w:rPr>
        <w:t xml:space="preserve">Quelle: </w:t>
      </w:r>
      <w:r>
        <w:t>https://mcp.opencaselaw.ch/entscheid/bvger_E-3392_2021</w:t>
      </w:r>
    </w:p>
    <w:p>
      <w:r>
        <w:t>FR: TAF E-3392/2021 du 23 septembre 2025</w:t>
      </w:r>
    </w:p>
    <w:p>
      <w:r>
        <w:t>IT: TAF E-3392/2021 del 23 settembre 2025</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2.1 Die Kognition des Bundesverwaltungsgerichts und die zulässigen Rügen richten sich im Asylbereich nach Art. 106 Abs. 1 AsylG, im Bereich des Ausländerrechts nach Art. 49 VwVG (vgl. BVGE 2014/26 E. 5).</w:t>
      </w:r>
    </w:p>
    <w:p>
      <w:r>
        <w:rPr>
          <w:b/>
        </w:rPr>
        <w:t>E. 2.1</w:t>
      </w:r>
    </w:p>
    <w:p>
      <w:r>
        <w:t>Die Kognition des Bundesverwaltungsgerichts und die zulässigen</w:t>
      </w:r>
    </w:p>
    <w:p>
      <w:r>
        <w:t>E-3392/2021 Seite 7 Rügen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Hinsichtlich des Auskunftsbegehrens betreffend den Spruchkörper res- pektive dessen Zustandekommens ist festzustellen, dass dem Beschwer- deführer mit Verfügung vom 18. August 2021 die Zusammensetzung des Spruchkörpers – unter Vorbehalt allfälliger Wechsel – mitgeteilt wurde. Die Richter des Spruchgremiums wurden im Auftrag des Abteilungspräsidiums durch das EDV-basierte Zuteilungssystem des Bundesverwaltungsgerichts automatisiert bestimmt. Zwischenzeitlich wurde Richter Gérard Scherrer infolge Pensionierung durch Richterin Chrystel Tornare Villanueva ersetzt. Ferner wurde für den inzwischen in einer anderen Abteilung tätigen Ge- richtsschreiber Michal Koebel Gerichtsschreiber Lukas Rathgeber einge- setzt.</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rPr>
          <w:b/>
        </w:rPr>
        <w:t>E. 4.1</w:t>
      </w:r>
    </w:p>
    <w:p>
      <w:r>
        <w:t>Der Beschwerdeführer monierte in seiner Beschwerdeschrift in formel- ler Hinsicht die Verletzung seines Anspruchs auf rechtliches Gehör, insbe- sondere der Begründungspflicht, eine unvollständige beziehungsweise un- richtige Abklärung des rechtserheblichen Sachverhalts sowie eine unzu- reichende und willkürliche Beweiswürdigung. Diese formellen Rügen sind vorab zu beurteilen, da sie sich allenfalls dazu eignen, eine Kassation der vorinstanzlichen Verfügung zu bewirken (vgl. BVGE 2013/34 E. 4.2; KÖLZ/HÄNER/BERTSCHI, Verwaltungsverfahren und Verwaltungsrechtspfle- ge des Bundes, 3. Aufl. 2013, Rz. 1043 ff. m.w.H.).</w:t>
      </w:r>
    </w:p>
    <w:p>
      <w:r>
        <w:rPr>
          <w:b/>
        </w:rPr>
        <w:t>E. 4.2.1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w:t>
      </w:r>
    </w:p>
    <w:p>
      <w:r>
        <w:t>E-3392/2021 Seite 8 wirksam zur Geltung bringen kann (vgl. BGE 135 II 286 E. 5.1; BVGE 2009/35 E. 6.4.1). Dazu gehört insbesondere das Recht des Betroffenen, sich zur Sache zu äussern, erhebliche Beweismittel beizubringen und mit erheblichen Beweisanträgen gehört zu werden. Mit dem Gehörsanspruch korreliert die Pflicht der Behörden, die Vorbringen tatsächlich zu hören, ernsthaft zu prüfen und in ihrer Entscheidung angemessen zu berücksich- tigen. Die Begründung muss so abgefasst sein, dass die betroffene Person den Entscheid gegebenenfalls sachgerecht anfechten kann. Sie muss kurz die wesentlichen Überlegungen nennen, von denen sich die Behörde hat leiten lassen und auf die sie ihren Entscheid stützt (vgl. BGE 147 IV 409 E. 5.3.4; 136 I 184 E. 2.2.1; 126 I 97 E. 2.b).</w:t>
      </w:r>
    </w:p>
    <w:p>
      <w:r>
        <w:rPr>
          <w:b/>
        </w:rPr>
        <w:t>E. 4.2.2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2023 VI/4 E. 6.1; 2021 VI/3 E. 11.5.1; KÖLZ/HÄNER/BERTSCHI, a.a.O., Rz. 1043).</w:t>
      </w:r>
    </w:p>
    <w:p>
      <w:r>
        <w:rPr>
          <w:b/>
        </w:rPr>
        <w:t>E. 4.3</w:t>
      </w:r>
    </w:p>
    <w:p>
      <w:r>
        <w:t>Die Rüge des Beschwerdeführers, das SEM hätte auch die vor dem Mehrfachgesuch vom 4. Juni 2021 eingereichten Beweismittel und Tatsa- chen berücksichtigen und neubeurteilen müssen, geht fehl. Soweit der Be- schwerdeführer vor dem Hintergrund der Erweiterung des PTA eine Ge- samtbeurteilung respektive eine gesamtheitliche Betrachtung aller Asyl- gründe fordert, zielt er damit auf die Geltendmachung eines objektiven Nachfluchtgrundes ab (vgl. nachfolgend E. 5.3). Wie noch zu zeigen sein wird, vermag die Anpassung des PTA jedoch keine Asylrelevanz zu begrün- den (vgl. nachfolgend E. 7.2). Es ist daher nicht zu beanstanden, dass das SEM sich vor allem in Bezug auf die neu geltend gemachten exilpolitischen Tätigkeiten des Beschwerdeführers äusserte und unter Hinweis auf die be- reits ergangenen, rechtskräftigen Urteile des Bundesverwaltungsgerichts das Vorliegen von Risikofaktoren beim Beschwerdeführer verneinte.</w:t>
      </w:r>
    </w:p>
    <w:p>
      <w:r>
        <w:rPr>
          <w:b/>
        </w:rPr>
        <w:t>E. 4.4</w:t>
      </w:r>
    </w:p>
    <w:p>
      <w:r>
        <w:t>Gleichermassen erweist sich die Rüge, die Vorinstanz habe das recht- liche Gehör und die Begründungspflicht verletzt, indem sie die vom Be- schwerdeführer im neuen Asylgesuch vorgebrachten Argumente (exilpoli- tische Tätigkeit und Erweiterung des PTA) und die eingereichten Beweis- mittel nicht gewürdigt habe, als unbegründet. Die Vorinstanz hat ihre dies- bezüglichen Überlegungen, von denen sie sich hat leiten lassen und auf</w:t>
      </w:r>
    </w:p>
    <w:p>
      <w:r>
        <w:t>E-3392/2021 Seite 9 die sie ihren Entscheid stützt, in der angefochtenen Verfügung nachvoll- ziehbar und hinreichend differenziert aufgezeigt (vgl. Verfügung des SEM vom 21. Juni 2021 Ziff. IV und V). Eine sachgerechte Anfechtung war denn auch möglich, wie die vorliegende Beschwerde zeigt. Eine Verletzung der Begründungspflicht ist demnach zu verneinen.</w:t>
      </w:r>
    </w:p>
    <w:p>
      <w:r>
        <w:rPr>
          <w:b/>
        </w:rPr>
        <w:t>E. 4.5</w:t>
      </w:r>
    </w:p>
    <w:p>
      <w:r>
        <w:t>Im Übrigen vermengt der Beschwerdeführer die Frage der Feststellung des rechtserheblichen Sachverhalts mit derjenigen der rechtlichen Würdi- gung. Ob die Beweiswürdigung, die Prüfung der asylrechtlichen Relevanz sowie die Lageeinschätzung des SEM zutreffend sind, betrifft nicht das rechtliche Gehör oder die Erstellung des Sachverhalts, sondern ist eine Frage der rechtlichen Würdigung der Sache, bei welcher es um die mate- rielle Entscheidung über die vorgebrachten Asylgründe geht. Der ange- fochtenen Verfügung ist zu entnehmen, dass das SEM sich mit allfälligen Risikofaktoren des Beschwerdeführers – auch in Bezug auf sein prognos- tiziertes Gefährdungsszenario einer drohenden Haft unter der PTA-Ge- setzgebung bei einer Rückkehr nach Sri Lanka – auseinandergesetzt hat. Entgegen der Behauptung des Beschwerdeführers berücksichtigte die Vor- instanz auch die veränderte Lage in Sri Lanka. Allein der Umstand, dass das SEM auf der Basis einer breiten Quellenlage einer anderen Einschät- zung der allgemeinen Lage in Sri Lanka folgt als vom Beschwerdeführer gefordert, lässt nicht auf eine ungenügende oder unvollständige Abklärung des Sachverhalts schliessen. Das Gleiche gilt, wenn das SEM gestützt auf seine Quellen und die Akten des vorliegenden Verfahrens die Asylvorbrin- gen anders würdigt als der Beschwerdeführer.</w:t>
      </w:r>
    </w:p>
    <w:p>
      <w:r>
        <w:rPr>
          <w:b/>
        </w:rPr>
        <w:t>E. 4.6</w:t>
      </w:r>
    </w:p>
    <w:p>
      <w:r>
        <w:t>Die verfahrensrechtlichen Rügen des Beschwerdeführers erweisen sich somit als unberechtigt. Es besteht keine Veranlassung, die angefoch- tene Verfügung aus formellen Gründen aufzuheben und die Sache an das SEM zurückzuweisen. Die Kassationsbegehren sind abzuweisen.</w:t>
      </w:r>
    </w:p>
    <w:p>
      <w:r>
        <w:rPr>
          <w:b/>
        </w:rPr>
        <w:t>E. 4.7</w:t>
      </w:r>
    </w:p>
    <w:p>
      <w:r>
        <w:t>Da der Sachverhalt vorliegend rechtsgenüglich erstellt ist, Folgeverfah- ren grundsätzlich schriftlich zu führen sind und die Vorinstanz eine Risi- koeinschätzung im Einzelfall vorgenommen hat, sind auch die Beweisan- träge, das SEM sei anzuweisen, eine tatsächliche, konkrete und umfas- sende Auseinandersetzung mit den eingereichten Beweismitteln vorzuneh- men sowie der Beschwerdeführer sei neu anzuhören, abzuweisen.</w:t>
      </w:r>
    </w:p>
    <w:p>
      <w:r>
        <w:rPr>
          <w:b/>
        </w:rPr>
        <w:t>E. 5.1</w:t>
      </w:r>
    </w:p>
    <w:p>
      <w:r>
        <w:t>Im Rahmen eines Mehrfachgesuchs gemäss Art. 111c AsylG sind Sachumstände materiell zu beurteilen, die nach Abschluss des vorange- gangenen Verfahrens neu entstanden sind (vgl. BVGE 2014/39 E. 4.6). Die</w:t>
      </w:r>
    </w:p>
    <w:p>
      <w:r>
        <w:t>E-3392/2021 Seite 10 asylsuchende Person macht dabei geltend, es liege ein nachträglich ver- änderter Sachverhalt vor, der flüchtlingsrechtlich respektive asylrechtlich relevant sei.</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5.3</w:t>
      </w:r>
    </w:p>
    <w:p>
      <w:r>
        <w:t>Eine asylsuchende Person ist auch dann als Flüchtling anzuerkennen, wenn sie erst aufgrund von Ereignissen nach ihrer Ausreise im Falle einer Rückkehr in den Heimatstaat in flüchtlingsrechtlich relevanter Weise ver- folgt würde. Dabei ist zu unterscheiden zwischen objektiven und subjekti- ven Nachfluchtgründen. Objektive Nachfluchtgründe liegen vor, wenn äussere Umstände, auf welche die asylsuchende Person keinen Einfluss nehmen konnte, zur drohenden Verfolgung führen. In diesen Fällen ist der betroffenen Person Asyl zu gewähren. Subjektive Nachfluchtgründe sind dann anzunehmen, wenn eine asylsuchende Person erst durch die Flucht aus dem Heimat- oder Herkunftsstaat oder wegen ihres Verhaltens nach der Ausreise eine Verfolgung im Sinne von Art. 3 AsylG zu befürchten hat. Bei subjektiven Nachfluchtgründen handelt es sich um Tatsachen, welche von den betreffenden Personen selbst geschaffen wurden.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 men (Art. 54 AsylG; vgl. BVGE 2009/28 E. 7.1; Urteil des BVGer D-890/2025 vom 28. Februar 2025 E. 7.2; Entscheidungen und Mitteilun- gen der Schweizerischen Asylrekurskommission [EMARK] 2000 Nr. 16 E. 5a m.w.H.).</w:t>
      </w:r>
    </w:p>
    <w:p>
      <w:r>
        <w:t>E-3392/2021 Seite 11</w:t>
      </w:r>
    </w:p>
    <w:p>
      <w:r>
        <w:rPr>
          <w:b/>
        </w:rPr>
        <w:t>E. 6.1</w:t>
      </w:r>
    </w:p>
    <w:p>
      <w:r>
        <w:t>Die Vorinstanz führte zur Begründung ihres Entscheids aus, dem Be- schwerdeführer sei es seit Erlass des BVGer-Urteils vom 17. Juli 2020 durch seine Teilnahme an der Demonstration in Genf im März 2021 nicht gelungen, eine flüchtlingsrechtlich relevante Verfolgung bei einer Rückkehr nach Sri Lanka zu begründen. Weder den Akten, noch den von ihm einge- reichten Beweismitteln sei ein konkreter Hinweis zu entnehmen, dass er sich in qualifizierter Weise und über das Mass der anderen zahlreichen Teilnehmer an diesem Anlass hinaus exilpolitisch betätigt hätte. Sein En- gagement sei weiterhin als niederschwellig zu bezeichnen und sein Ver- halten in der Schweiz sei insgesamt betrachtet nicht geeignet, ein ernst- haftes Vorgehen der sri-lankischen Behörden zu bewirken. Dies zeige auch seine bisherige Prozessgeschichte, wonach es sich bei ihm nicht um eine Person mit speziellem Risikoprofil handle, welche die Aufmerksamkeit der sri-lankischen Behörden auf sich gezogen habe beziehungsweise in Zu- kunft auf sich ziehen werde. Das Bundesverwaltungsgericht habe bereits mit Urteil vom 17. Juli 2020 rechtskräftig festgestellt, dass bei ihm keine Risikofaktoren im Sinne des Referenzurteils E-1866/2015 vom 15. Juli 2016 vorlägen. An dieser Schlussfolgerung würden auch die neu eingereichten Berichte zur Menschenrechtslage in Sri Lanka (Ausweitung des PTA vom 12. März 2021, UNO-Bericht vom 9. Februar 2021 und Länderbericht des Rechts- vertreters vom 4. Juni 2021) nichts ändern, da sich daraus für ihn selbst kein konkreter und persönlicher Bezug ergebe. Entsprechend sei nach wie vor davon auszugehen, dass er nicht über ein politisches Profil verfüge, welches ihn bei einer Rückkehr nach Sri Lanka einer konkreten Gefähr- dung im Sinne von Art. 3 AsylG aussetzen würde. Seine geltend gemach- ten subjektiven Nachfluchtgründe würden auch unter Einbezug der ge- nannten Berichte den Anforderungen an die Flüchtlingseigenschaft nicht standhalten.</w:t>
      </w:r>
    </w:p>
    <w:p>
      <w:r>
        <w:rPr>
          <w:b/>
        </w:rPr>
        <w:t>E. 6.2</w:t>
      </w:r>
    </w:p>
    <w:p>
      <w:r>
        <w:t>Der Beschwerdeführer entgegnete in seiner Beschwerdeeingabe in materieller Hinsicht, die Erweiterung der PTA-Gesetzgebung habe einen neuen Risikofaktor geschaffen, aufgrund dessen ihm bei einer Rückkehr eine asylrelevante Verfolgung drohe. Es sei diesbezüglich namentlich auf den UNO-Bericht vom 9. Februar 2021, in welchem eine Überprüfung der Asylpraxis in Bezug auf Sri Lanka gefordert worden sei sowie den neuen Länderbericht des Rechtsvertreters vom 4. Juni 2021 zu verweisen. Im Lichte dieser Entwicklungen müsse er angesichts «seiner Verbreitungs- handlungen der tamilisch separatistischen Ideologie (…)», seiner</w:t>
      </w:r>
    </w:p>
    <w:p>
      <w:r>
        <w:t>E-3392/2021 Seite 12 «Bestrebungen zur Wiederbelebung der LTTE als Träger tamilisch separa- tistischen Gedankenguts» und seiner Zugehörigkeit «zur Gruppe der Rück- kehrer» damit rechnen, von den sri-lankischen Sicherheitskräften als radi- kalisierter Anhänger der tamilisch-separatistischen Ideologie wahrgenom- men zu werden, der sich aktiv an der Wiederbelebung der LTTE beteilige.</w:t>
      </w:r>
    </w:p>
    <w:p>
      <w:r>
        <w:rPr>
          <w:b/>
        </w:rPr>
        <w:t>E. 7.1</w:t>
      </w:r>
    </w:p>
    <w:p>
      <w:r>
        <w:t>Der Beschwerdeführer vermag aus seinem (weitergeführten) exilpoliti- schen Engagement auch unter Berücksichtigung der Erweiterung des PTA keine objektiven Anhaltspunkte für eine begründete Furcht vor einer Ver- folgung durch die sri-lankischen Behörden darzutun. Exilpolitische Aktivi- täten können zwar flüchtlingsrechtlich relevant sein, insbesondere, wenn der betroffenen Person seitens der sri-lankischen Behörden ein überzeug- ter Aktivismus mit dem Ziel der Wiederbelebung des tamilischen Separa- tismus zugeschrieben wird (vgl. Referenzurteil des BVGer E-1866/2015 E. 8.5.4). Hinsichtlich der geltend gemachten Teilnahme an der Demonst- ration in Genf im März 2021 ist in Übereinstimmung mit der Vorinstanz fest- zuhalten, dass es sich dabei um ein niederschwelliges Engagement des Beschwerdeführers handelt. Dieses ist nicht geeignet, die Aufmerksamkeit der heimatlichen Behörden auf sich zu ziehen (vgl. Verfügung des SEM vom 21. Juni 2021 Ziff. IV). Daran ändert auch der Umstand nichts, dass die heimatlichen Behörden Aktivitäten in den sozialen Medien beobachten und es zu Verhaftungen von in den sozialen Medien aktiven Personen kam. Der Beschwerdeführer vermag nicht überzeugend aufzuzeigen, dass er sich durch seine Teilnahme an der Demonstration nun derart exponiert ha- ben soll, dass er bei einer Rückkehr nach Sri Lanka Furcht vor einer asyl- relevanten Verfolgung haben müsste.</w:t>
      </w:r>
    </w:p>
    <w:p>
      <w:r>
        <w:rPr>
          <w:b/>
        </w:rPr>
        <w:t>E. 7.2</w:t>
      </w:r>
    </w:p>
    <w:p>
      <w:r>
        <w:t>Die weitere Prüfung der Akten ergibt, dass die Vorinstanz zu Recht ein massgebliches Risikoprofil beziehungsweise einen konkreten Bezug der geltend gemachten politischen und menschenrechtlichen Entwicklungen in Sri Lanka zur Person des Beschwerdeführers verneinte (vgl. Verfügung des SEM vom 21. Juni 2021 Ziff. IV). Dasselbe gilt für den eingereichten Bericht der UNO vom 9. Februar 2021, zumal der Beschwerdeführer dies- bezüglich ebenfalls keinen konkreten Bezug zu seinen Vorbringen aufzeigt. Nach dem Gesagten vermag der Beschwerdeführer auch nicht konkret dar- zutun, inwiefern die Erweiterung des PTA für ihn eine massgebliche Ver- schärfung des Risikos darstellen sollte, zumal bereits in den vorhergehen- den Verfahren rechtskräftig festgestellt wurde, dass er keine Vorverfolgung im Sinne von Art. 3 AsylG glaubhaft zu machen vermochte (vgl. Urteile des BVGer E-3609/2019 vom 29. Oktober 2019 und E-1960/2020 vom 17. Juli</w:t>
      </w:r>
    </w:p>
    <w:p>
      <w:r>
        <w:t>E-3392/2021 Seite 13 2020). Alleine aus der Landesabwesenheit des Beschwerdeführers res- pektive dem mehrjährigen Aufenthalt in der Schweiz kann keine Gefähr- dung abgeleitet werden.</w:t>
      </w:r>
    </w:p>
    <w:p>
      <w:r>
        <w:rPr>
          <w:b/>
        </w:rPr>
        <w:t>E. 7.3</w:t>
      </w:r>
    </w:p>
    <w:p>
      <w:r>
        <w:t>Zusammenfassend ist festzuhalten, dass es dem Beschwerdeführer nicht gelungen ist, eine im Sinne von Art. 3 AsylG relevante Verfolgungs- gefahr nachzuweisen oder glaubhaft darzutun. Die Vorinstanz hat sein Mehrfachgesuch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 namentlich Art. 3 EMRK – einer Weiterreise der Ausländerin oder des Ausländers in den Heimat-, Herkunfts- oder einen Drittstaat ent- gegenstehen (Art. 83 Abs. 3 AIG). Gemäss aktueller Praxis geht das Bundesverwaltungsgericht unter Be- rücksichtigung der Rechtsprechung des EGMR davon aus, dass aus der Schweiz zurückkehrenden Tamilen nicht in genereller Weise eine un- menschliche Behandlung droht. Eine Risikoeinschätzung müsse im Einzel- fall vorgenommen werden (vgl. statt vieler: Urteile des BVGer D-5176/2021</w:t>
      </w:r>
    </w:p>
    <w:p>
      <w:r>
        <w:t>E-3392/2021 Seite 14 vom 6. Februar 2025 E. 10.2; E-4621/2021 vom 6. September 2023 E. 8.1 sowie Referenzurteil des Bundesverwaltungsgerichts E-737/2020 vom 15. Dezember 2022 E. 10.1.2.3; je m.w.H.). Aus den Akten ergeben sich keine entsprechenden Anhaltspunkte. Der Vollzug der Wegweisung ist so- mit zulässig.</w:t>
      </w:r>
    </w:p>
    <w:p>
      <w:r>
        <w:rPr>
          <w:b/>
        </w:rPr>
        <w:t>E. 9.3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9.4</w:t>
      </w:r>
    </w:p>
    <w:p>
      <w:r>
        <w:t>Der Vollzug der Wegweisung wurde sowohl durch die Vorinstanz als auch durch das Bundesverwaltungsgericht bereits mehrmals – letztmals mit Urteil E-1960/2020 vom 17. Juli 2020 – für zumutbar befunden. Die Vor- instanz hat vorliegend richtigerweise festgestellt, dass die Eingabe vom 4. Juni 2021 keine stichhaltige Begründung enthält, die etwas an dieser Einschätzung zu ändern vermöge (vgl. Verfügung des SEM vom 21. Juni 2021 Ziff. V).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w:t>
      </w:r>
    </w:p>
    <w:p>
      <w:r>
        <w:t>E-3392/2021 Seite 15 führer aufzuerlegen (Art. 63 Abs. 1 VwVG; Art. 1–3 des Reglements vom 21. Februar 2008 über die Kosten und Entschädigungen vor dem Bundes- verwaltungsgericht). Da mit Zwischenverfügung vom 14. September 2021 die unentgeltliche Prozessführung gewährt wurde und aufgrund der Akten nach wie vor von der Bedürftigkeit des Beschwerdeführers auszugehen ist, sind keine Verfahrenskosten zu erheben.</w:t>
      </w:r>
    </w:p>
    <w:p>
      <w:r>
        <w:t>(Dispositiv nächste Seite)</w:t>
      </w:r>
    </w:p>
    <w:p>
      <w:r>
        <w:t>E-3392/2021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