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E-3389/2019 vom 18. Juli 2019</w:t>
      </w:r>
    </w:p>
    <w:p>
      <w:r>
        <w:t>Bundesverwaltungsgericht, 2019-07-18, DE</w:t>
      </w:r>
    </w:p>
    <w:p>
      <w:r>
        <w:rPr>
          <w:b/>
        </w:rPr>
        <w:t xml:space="preserve">Quelle: </w:t>
      </w:r>
      <w:r>
        <w:t>https://mcp.opencaselaw.ch/entscheid/bvger_E-3389_2019</w:t>
      </w:r>
    </w:p>
    <w:p>
      <w:r>
        <w:t>FR: TAF E-3389/2019 du 18 juillet 2019</w:t>
      </w:r>
    </w:p>
    <w:p>
      <w:r>
        <w:t>IT: TAF E-3389/2019 del 18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vom 7. Juni 2019 damit, dass der Beschwerdeführer weder seine Mitgliedschaft bei der IPOB noch seine Teilnahme an Protesten und die damit verbundenen Probleme wie beispielsweise eine Suche der Behörden nach ihm anlässlich der BzP erwähnt und dies auch nicht zu erklären vermocht habe. Seine Aussagen, insbesondere betreffend seine Aufenthaltsorte in Nigeria, respektive wann er zuletzt in seinem Heimatdorf gewesen sei, seien widersprüchlich ausgefallen. Da der Beschwerdeführer seine angeblichen Tätigkeiten für die IPOB und die daraus resultierenden Probleme nicht substantiiert habe schildern können, seien seine diesbezüglichen Asylvorbringen insgesamt als unglaubhaft einzustufen. Das weitere Vorbringen, wonach er, wie anlässlich der BzP vorgebracht, Nigeria auf der Suche nach Arbeit und einer besseren Zukunft verlassen habe, erfülle die Anforderungen an die Flüchtlingseigenschaft gemäss Art. 3 AsylG nicht. Den Wegweisungsvollzug erachtete die Vorinstanz als zulässig, soweit überprüfbar zumutbar und sowohl technisch möglich als auch praktisch durchführbar.</w:t>
      </w:r>
    </w:p>
    <w:p>
      <w:r>
        <w:rPr>
          <w:b/>
        </w:rPr>
        <w:t>E. 5.2</w:t>
      </w:r>
    </w:p>
    <w:p>
      <w:r>
        <w:t>Auf Beschwerdeebene monierte der Beschwerdeführer, er habe anlässlich der BzP seine Mitgliedschaft bei der IPOB nicht erwähnen können, da die befragende Person ihm keine Zeit gelassen habe, alles zu erklären. Seine Mutter und Schwester seien nach den Wahlen verstorben. In Nigeria würden aktuell unschuldige Personen umgebracht. Als aktives Mitglied der IPOB wäre er bei einer Rückkehr nach Nigeria in grösster Gefahr und ihm würde als Regierungsgegner der Tod drohen, weshalb eine Rückkehr nicht zumutbar sei.</w:t>
      </w:r>
    </w:p>
    <w:p>
      <w:r>
        <w:rPr>
          <w:b/>
        </w:rPr>
        <w:t>E. 6</w:t>
      </w:r>
    </w:p>
    <w:p>
      <w:r>
        <w:t>Eine Prüfung der Akten ergibt, dass die Vorinstanz das Bestehen der Flüchtlingseigenschaft zutreffend verneint und das Asylgesuch abgewiesen hat.</w:t>
      </w:r>
    </w:p>
    <w:p>
      <w:r>
        <w:rPr>
          <w:b/>
        </w:rPr>
        <w:t>E. 6.1</w:t>
      </w:r>
    </w:p>
    <w:p>
      <w:r>
        <w:t>Das Bundesverwaltungsgericht geht mit dem SEM darin einig, dass die Mitgliedschaft des Beschwerdeführers bei der IPOB sowie die damit verbundenen Probleme als nachgeschoben zu qualifizieren sind. So erwähnte er weder die Teilnahme an Protesten noch irgendwelche Schwierigkeiten mit den Behörden an der BzP auch nur ansatzweise (vgl. EMARK 2005/7 E. 6.2.1). Seine Erklärung in der Beschwerdeschrift, wonach die befragende Person ihm keine Zeit gelassen habe, alles zu erklären, vermag nicht zu überzeugen, zumal er explizit gefragt wurde, ob er in seiner Heimat jemals Probleme mit den Behörden gehabt habe, was er explizit verneinte (vgl. A8, Ziff. 7.02). Auch die Frage, ob es andere Gründe gebe, die gegen eine allfällige Rückkehr sprechen würden, verneinte er ausdrücklich (vgl. A8, Ziff. 7.03). Es hätte von ihm erwartet werden können, die nachträglich geltend gemachten Probleme bereits anlässlich dieser Fragen an der BzP zu erwähnen. Des Weiteren machte er auch innerhalb der Bundesanhörung widersprüchliche Angaben zu seinen Vorbringen. So gab er zunächst an, er sei gesucht worden, weil er Proteste organisiert habe und sei auch einmal in Haft gewesen (vgl. A27 F37). Im Verlauf der Bundesanhörung sagte er hingegen aus, er habe erst nach seiner Ausreise erfahren, dass er gesucht sei (vgl. A27 F66). Die Beweiskraft der zur Bekräftigung seiner Asylvorbringen auf Beschwerdeebene eingereichten Kopie einer Mitgliederkarte der IPOB sowie die zwei Fotos in Kopie, welche ihn an Protesten zeigen würden, muss als gering eingestuft werden. Die Mitgliederkarte der IPOB liegt dem Bundesverwaltungsgericht lediglich in Kopie vor, stellt ein leicht erstellbares oder käufliches Dokument dar und enthält zudem keinen Hinweis auf eine Verfolgung des Beschwerdeführers. Auch den beiden Fotos, welche ihn an Protesten zeigen würden, lassen sich keine Hinweise auf eine Suche nach ihm wegen der Organisation von Demonstrationen entnehmen. Die Vorbringen des Beschwerdeführers betreffend seine Mitgliedschaft bei der IPOB und den damit verbundenen Problemen halten den Anforderungen an die Glaubhaftigkeit gemäss Art. 7 AsylG demnach nicht stand.</w:t>
      </w:r>
    </w:p>
    <w:p>
      <w:r>
        <w:rPr>
          <w:b/>
        </w:rPr>
        <w:t>E. 6.2</w:t>
      </w:r>
    </w:p>
    <w:p>
      <w:r>
        <w:t>Die Vorinstanz hat zudem zu Recht festgehalten, dass die Vorbringen des Beschwerdeführers, Nigeria auf der Suche nach Arbeit und einer besseren Zukunft verlassen zu haben, nicht asylrelevant im Sinne von Art. 3 AsylG sind.</w:t>
      </w:r>
    </w:p>
    <w:p>
      <w:r>
        <w:rPr>
          <w:b/>
        </w:rPr>
        <w:t>E. 6.3</w:t>
      </w:r>
    </w:p>
    <w:p>
      <w:r>
        <w:t>Das SEM hat die Flüchtlingseigenschaft des Beschwerdeführers demnach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Wie die Vorinstanz zutreffend festgehalten hat, sind auch im vorliegenden Verfahren die Voraussetzungen von Art. 83 Abs. 4 AIG nicht erfüllt. Weder kann angesichts der politischen Entwicklungen in Nigeria derzeit von einer bürgerkriegsähnlichen Situation oder einer landesweiten Situation allgemeiner Gewalt ausgegangen werden, noch lassen sich den Akten neue individuelle Gründe entnehmen, welche gegen den Wegweisungsvollzug sprechen. Der junge und gesunde Beschwerdeführer verfügt über gewisse Schulbildung und Arbeitserfahrung. Er machte bereits im Rahmen der BzP und der Bundesanhörung widersprüchliche Aussagen betreffend seine Familie und seinen Lebenslauf (vgl. A8, Ziff. 3.01; A27 F5ff., F15ff.), und vermochte die Widersprüche nicht schlüssig zu entkräften (vgl. A27 F68). In der Beschwerdeschrift äusserte er sich erneut widersprüchlich zum Todeszeitpunkt seiner Mutter und Schwester. Die Vorinstanz hat in der Verfügung vom 7. Juni 2019 somit zu Recht festgehalten, dass die Zumutbarkeit des Wegweisungsvollzugs nicht in voller Kenntnis seiner tatsächlichen persönlichen und familiären Situation geprüft werden kann. Aus den Akten ergeben sich jedoch keine Hinweise dafür, dass eine konkrete Gefährdung im Sinne von Art. 83 Abs. 4 AIG vorliegt. Nach dem Gesagten erweist sich der Vollzug der Wegweisung auch als zumutbar. An dieser Einschätzung vermögen auch die eingereichten Fotos, welche die Beerdigung seiner Mutter und Schwester sowie die allgemeine Lage in Nigeria belegen würden, nichts zu ändern, zumal diese keine Rückschlüsse auf den Zeitpunkt der Geschehnisse erlauben.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ist mit vorliegendem Direktentscheid gegenstandslos geworden.</w:t>
      </w:r>
    </w:p>
    <w:p>
      <w:r>
        <w:rPr>
          <w:b/>
        </w:rPr>
        <w:t>E. 10.2</w:t>
      </w:r>
    </w:p>
    <w:p>
      <w:r>
        <w:t>Die Beschwerde ist aufgrund der obigen Erwägungen als aussichtslos zu bezeichnen, weshalb das Gesuch um Gewährung der unentgeltlichen Rechtspflege gemäss Art. 65 Abs. 1 VwVG abzuweisen ist.</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