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E-3389/2012 vom 29. November 2013</w:t>
      </w:r>
    </w:p>
    <w:p>
      <w:r>
        <w:t>Bundesverwaltungsgericht, 2013-11-29, DE</w:t>
      </w:r>
    </w:p>
    <w:p>
      <w:r>
        <w:rPr>
          <w:b/>
        </w:rPr>
        <w:t xml:space="preserve">Quelle: </w:t>
      </w:r>
      <w:r>
        <w:t>https://mcp.opencaselaw.ch/entscheid/bvger_E-3389_2012</w:t>
      </w:r>
    </w:p>
    <w:p>
      <w:r>
        <w:t>FR: TAF E-3389/2012 du 29 novembre 2013</w:t>
      </w:r>
    </w:p>
    <w:p>
      <w:r>
        <w:t>IT: TAF E-3389/2012 del 29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wie auch vorliegend - endgültig (vgl.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2.1</w:t>
      </w:r>
    </w:p>
    <w:p>
      <w:r>
        <w:t>Das Bundesverwaltungsgericht überprüft die angefochtene Verfügung auf Verletzung von Bundesrecht, unrichtige und unvollständige Feststellung des rechtserheblichen Sachverhalts und Unangemessenheit hin (Art. 106 Abs. 1 AsylG).</w:t>
      </w:r>
    </w:p>
    <w:p>
      <w:r>
        <w:rPr>
          <w:b/>
        </w:rPr>
        <w:t>E. 2.2</w:t>
      </w:r>
    </w:p>
    <w:p>
      <w:r>
        <w:t>Die Begründung der Begehren bindet die Beschwerdeinstanz in keinem Fall (Art. 62 Abs. 4 VwVG). Die Beschwerdeinstanz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Die Beschwerde ist im Verfahren einzelrichterlicher Zuständigkeit mit Zustimmung eines zweiten Richters oder Richterin zu behandeln, weil sie sich im Ergebnis als offensichtlich begründet erweist (Art. 111 Bst. e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hat die Vorinstanz in Aussicht gestellt, nicht nur die beiden Vorfälle, sondern auch eine allfällige Veränderung der allgemeinen Situation in Sri Lanka abzuklären. Die Vorinstanz geht damit selbst davon aus, dass der Sachverhalt, wie er der Verfügung vom 23. Mai 2012 zugrunde liegt, offensichtlich nicht vollständig festgestellt ist. Denn es besteht kein Zweifel, dass eine neue Lagebeurteilung vor Ort sich auf die konkrete Feststellung des rechtserheblichen Sachverhalts auswirken kann, sei es im Wegweisungsvollzugspunkt, sei es allenfalls im Flüchtlings- und Asylpunkt (vgl. zu den Risikogruppen BVGE 2011/24 E. 8).</w:t>
      </w:r>
    </w:p>
    <w:p>
      <w:r>
        <w:rPr>
          <w:b/>
        </w:rPr>
        <w:t>E. 3.2</w:t>
      </w:r>
    </w:p>
    <w:p>
      <w:r>
        <w:t>Das Bundesverwaltungsgericht hat zwar die Kompetenz, den festgestellten Sachverhalt mit voller Kognition zu überprüfen (Art. 106 Abs. 1 Bst. b AsylG), und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Sachverhaltsfeststellungen, die über eine blosse Ergänzung und Erwahrung des rechtserheblichen Sachverhalts hinausreichen, abzusehen (vgl. BVGE 2012/21 E. 5; ferner Urteil des Bundesverwaltungsgerichts E-4157/2012 vom 4. Oktober 2012, E. 4).</w:t>
      </w:r>
    </w:p>
    <w:p>
      <w:r>
        <w:rPr>
          <w:b/>
        </w:rPr>
        <w:t>E. 3.3</w:t>
      </w:r>
    </w:p>
    <w:p>
      <w:r>
        <w:t>Demnach ist die angefochtene Verfügung aufzuheben und die Sache zur vollständigen Sachverhaltsfeststellung und zu neuer Entscheidung an die Vorinstanz zurückzuweisen. Die Tatsache allein, dass die Ergebnisse der vorinstanzlichen Abklärungen abzuwarten sind, rechtfertigt die Aufhebung der Verfügung. Die Beschwerde ist - ungeachtet der Parteivorbringen - somit gutzuheissen. An der Beurteilung der konkreten Beschwerdevorbringen besteht kein schutzwürdiges Interesse mehr und in diesem Masse ist die Beschwerde zugleich gegenstandslos geworden.</w:t>
      </w:r>
    </w:p>
    <w:p>
      <w:r>
        <w:rPr>
          <w:b/>
        </w:rPr>
        <w:t>E. 4.1</w:t>
      </w:r>
    </w:p>
    <w:p>
      <w:r>
        <w:t>Bei diesem Ausgang des Verfahrens sind keine Kosten zu erheben (Art. 63 VwVG), weshalb das Gesuch um Gewährung der unentgeltlichen Rechtspflege gegenstandslos wird.</w:t>
      </w:r>
    </w:p>
    <w:p>
      <w:r>
        <w:rPr>
          <w:b/>
        </w:rPr>
        <w:t>E. 4.2</w:t>
      </w:r>
    </w:p>
    <w:p>
      <w:r>
        <w:t>Die Beschwerdeinstanz kann der ganz oder teilweise obsiegenden Partei von Amtes wegen oder auf Begehren eine Entschädigung für ihr erwachsene notwendige und verhältnismässige hohe Kosten zusprechen (Art. 64 Abs. 1 VwVG). Einerseits gilt die Beschwerdeführerin insoweit als obsiegende Partei, als ihrem Antrag auf Aufhebung der angefochtenen Verfügung stattzugeben ist. Andererseits ist zu berücksichtigen, dass die Beschwerdegegnerin den gleichen Parteistandpunkt einnimmt, auch wenn ein formeller Antrag auf Beschwerdegutheissung fehlt. Die Gutheissung erfolgt denn auch nicht wegen begründeter Parteivorbringen, sondern allein deshalb, weil eine allfällig veränderte Sachlage die Wiederaufnahme des erstinstanzlichen Verwaltungsverfahrens unausweichlich macht. Bei der Festsetzung der Parteientschädigung ist beiden Aspekten Rechnung zu tragen, sowohl dem Aspekt des Obsiegens des Beschwerdeführers (nach Art. 7-14 des Reglements vom 21. Februar 2008 über die Kosten und Entschädigungen vor dem Bundesverwaltungsgericht [VGKE, SR 173.320.2]) als auch dem der Gegenstandslosigkeit (nach Art. 15 VGKE). Bei gegenstandlosen Verfahren ohne Zutun der Parteien richtet sich die Entschädigung aufgrund der Sachlage vor Eintritt des Erledigungsgrundes (Art. 15 i.V.m. Art. 5 Satz 2 VGKE). Letztlich sind es die ungeklärten Vorfälle, die dazu führen, dass die Beschwerde durch Rückweisungsentscheid zu erledigen ist. Da keine gesicherten Erkenntnisse über die allgemeine Situation in Sri Lanka vorliegen, lässt sich die Sachlage und damit die prozessuale Erfolgsaussichten der Beschwerde auch im Zeitpunkt ihrer Einreichung nicht näher bestimmen. In Anwendung der gesetzlichen Bemessungsfaktoren und angesichts der besonderen Umstände erscheint eine (pauschalisierende) Parteientschädigung von Fr. 1000.- angemessen. Die Vorinstanz ist in Anwendung von Art. 64 Abs. 2 VwVG anzuweisen, der Beschwerdeführerin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